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　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2019</w:t>
      </w:r>
      <w:r>
        <w:rPr>
          <w:rFonts w:hint="eastAsia" w:ascii="宋体" w:hAnsi="宋体" w:cs="宋体"/>
          <w:color w:val="333333"/>
          <w:kern w:val="0"/>
          <w:sz w:val="24"/>
        </w:rPr>
        <w:t>　年度）</w:t>
      </w:r>
    </w:p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hint="eastAsia" w:ascii="宋体" w:eastAsia="宋体" w:cs="宋体"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抚顺市交通运输局</w:t>
      </w:r>
    </w:p>
    <w:tbl>
      <w:tblPr>
        <w:tblStyle w:val="2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抚顺市交通运输局</w:t>
            </w:r>
            <w:r>
              <w:rPr>
                <w:rFonts w:hint="eastAsia" w:ascii="宋体" w:hAnsi="宋体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fssjtj.fushun.gov.cn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抚顺市交通运输局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政府门户网站　　　</w:t>
            </w: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Calibri"/>
                <w:kern w:val="0"/>
                <w:szCs w:val="21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2104000013 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 辽ICP备06009252号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辽公网安备</w:t>
            </w:r>
            <w:r>
              <w:rPr>
                <w:rFonts w:hint="eastAsia" w:ascii="宋体" w:hAnsi="宋体" w:cs="Calibri"/>
                <w:kern w:val="0"/>
                <w:szCs w:val="21"/>
              </w:rPr>
              <w:t>21040202000093</w:t>
            </w:r>
            <w:r>
              <w:rPr>
                <w:rFonts w:hint="eastAsia" w:ascii="宋体" w:hAnsi="宋体" w:cs="Calibri"/>
                <w:kern w:val="0"/>
                <w:szCs w:val="21"/>
                <w:lang w:eastAsia="zh-CN"/>
              </w:rPr>
              <w:t>号</w:t>
            </w:r>
            <w:r>
              <w:rPr>
                <w:rFonts w:hint="eastAsia" w:ascii="宋体" w:hAnsi="宋体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530228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2044136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676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49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1727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1727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eastAsia="zh-CN"/>
              </w:rPr>
              <w:t>抚顺交通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270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5443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eastAsia="zh-CN"/>
              </w:rPr>
              <w:t>抚顺市交通局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搜索即服务　　　□多语言版本　　　</w:t>
            </w:r>
            <w:r>
              <w:rPr>
                <w:rFonts w:hint="eastAsia" w:ascii="宋体" w:hAnsi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Cs w:val="21"/>
              </w:rPr>
              <w:t>无障碍浏览　　　□千人千网</w:t>
            </w:r>
          </w:p>
          <w:p>
            <w:pPr>
              <w:widowControl/>
              <w:ind w:firstLine="2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□其他</w:t>
            </w:r>
            <w:r>
              <w:rPr>
                <w:rFonts w:cs="Calibri"/>
                <w:kern w:val="0"/>
                <w:szCs w:val="21"/>
              </w:rPr>
              <w:t>_____________________________________________________</w:t>
            </w:r>
          </w:p>
          <w:p>
            <w:pPr>
              <w:widowControl/>
              <w:ind w:firstLine="4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544F6"/>
    <w:rsid w:val="47D544F6"/>
    <w:rsid w:val="49C36E5A"/>
    <w:rsid w:val="50904DE9"/>
    <w:rsid w:val="696A0DAA"/>
    <w:rsid w:val="6E4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2020-01-02T07:16:00Z</dcterms:created>
  <dc:creator>fszwg</dc:creator>
  <cp:lastModifiedBy>新</cp:lastModifiedBy>
  <cp:lastPrinted>2020-01-07T07:47:00Z</cp:lastPrinted>
  <dcterms:modified xsi:type="dcterms:W3CDTF">2021-01-22T05:49:59Z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