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500BD">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14:paraId="6152D41F">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14:paraId="491B262A">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14:paraId="58931598">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14:paraId="543E18D7">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14:paraId="1869CED7">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14:paraId="7BDF0240">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14:paraId="18B80F6F">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14:paraId="07E12FF5">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14:paraId="6A154757">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14:paraId="28C2C2EA">
      <w:pPr>
        <w:pageBreakBefore w:val="0"/>
        <w:kinsoku/>
        <w:wordWrap w:val="0"/>
        <w:topLinePunct/>
        <w:bidi w:val="0"/>
        <w:spacing w:line="240" w:lineRule="atLeast"/>
        <w:ind w:right="31" w:rightChars="15"/>
        <w:jc w:val="center"/>
        <w:rPr>
          <w:rFonts w:hint="default" w:ascii="Times New Roman" w:hAnsi="Times New Roman" w:eastAsia="黑体" w:cs="Times New Roman"/>
          <w:sz w:val="56"/>
          <w:szCs w:val="56"/>
        </w:rPr>
      </w:pPr>
      <w:r>
        <w:rPr>
          <w:rFonts w:hint="default" w:ascii="Times New Roman" w:hAnsi="Times New Roman" w:eastAsia="黑体" w:cs="Times New Roman"/>
          <w:sz w:val="56"/>
          <w:szCs w:val="56"/>
        </w:rPr>
        <w:t>第三章  评标办法</w:t>
      </w:r>
    </w:p>
    <w:p w14:paraId="5C03D743">
      <w:pPr>
        <w:pStyle w:val="2"/>
        <w:pageBreakBefore w:val="0"/>
        <w:kinsoku/>
        <w:wordWrap w:val="0"/>
        <w:bidi w:val="0"/>
        <w:spacing w:before="0" w:after="120" w:afterLines="50" w:line="240" w:lineRule="atLeast"/>
        <w:jc w:val="center"/>
        <w:rPr>
          <w:rFonts w:hint="default" w:ascii="Times New Roman" w:hAnsi="Times New Roman" w:eastAsia="黑体" w:cs="Times New Roman"/>
          <w:sz w:val="36"/>
          <w:szCs w:val="36"/>
        </w:rPr>
        <w:sectPr>
          <w:headerReference r:id="rId4" w:type="default"/>
          <w:footerReference r:id="rId6" w:type="default"/>
          <w:headerReference r:id="rId5" w:type="even"/>
          <w:footerReference r:id="rId7" w:type="even"/>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14:paraId="3A5E62FE">
      <w:pPr>
        <w:spacing w:line="400" w:lineRule="atLeast"/>
        <w:rPr>
          <w:rFonts w:hint="default" w:ascii="Times New Roman" w:hAnsi="Times New Roman" w:eastAsia="宋体" w:cs="Times New Roman"/>
          <w:sz w:val="24"/>
        </w:rPr>
      </w:pPr>
      <w:bookmarkStart w:id="0" w:name="_Toc234832931"/>
    </w:p>
    <w:bookmarkEnd w:id="0"/>
    <w:p w14:paraId="6C1303B7">
      <w:pPr>
        <w:pStyle w:val="2"/>
        <w:pageBreakBefore w:val="0"/>
        <w:kinsoku/>
        <w:wordWrap w:val="0"/>
        <w:bidi w:val="0"/>
        <w:spacing w:before="0" w:after="120" w:afterLines="50" w:line="240" w:lineRule="atLeast"/>
        <w:jc w:val="center"/>
        <w:rPr>
          <w:rFonts w:hint="default" w:ascii="Times New Roman" w:hAnsi="Times New Roman" w:eastAsia="黑体" w:cs="Times New Roman"/>
          <w:b w:val="0"/>
          <w:sz w:val="42"/>
          <w:szCs w:val="42"/>
        </w:rPr>
      </w:pPr>
      <w:bookmarkStart w:id="1" w:name="_Toc14682"/>
      <w:r>
        <w:rPr>
          <w:rFonts w:hint="default" w:ascii="Times New Roman" w:hAnsi="Times New Roman" w:eastAsia="黑体" w:cs="Times New Roman"/>
          <w:b w:val="0"/>
          <w:sz w:val="42"/>
          <w:szCs w:val="42"/>
        </w:rPr>
        <w:t>第三章  评标办法（技术评分最低标价法）</w:t>
      </w:r>
      <w:r>
        <w:rPr>
          <w:rStyle w:val="10"/>
          <w:rFonts w:hint="default" w:ascii="Times New Roman" w:hAnsi="Times New Roman" w:eastAsia="黑体" w:cs="Times New Roman"/>
          <w:sz w:val="42"/>
          <w:szCs w:val="42"/>
        </w:rPr>
        <w:footnoteReference w:id="0"/>
      </w:r>
      <w:bookmarkEnd w:id="1"/>
    </w:p>
    <w:p w14:paraId="75AF9DB5">
      <w:pPr>
        <w:pageBreakBefore w:val="0"/>
        <w:kinsoku/>
        <w:wordWrap w:val="0"/>
        <w:bidi w:val="0"/>
        <w:spacing w:line="420" w:lineRule="atLeast"/>
        <w:rPr>
          <w:rFonts w:hint="default" w:ascii="Times New Roman" w:hAnsi="Times New Roman" w:eastAsia="黑体" w:cs="Times New Roman"/>
          <w:sz w:val="20"/>
          <w:szCs w:val="20"/>
        </w:rPr>
      </w:pPr>
      <w:bookmarkStart w:id="17" w:name="_GoBack"/>
      <w:bookmarkEnd w:id="17"/>
    </w:p>
    <w:p w14:paraId="1E7F1101">
      <w:pPr>
        <w:pStyle w:val="2"/>
        <w:pageBreakBefore w:val="0"/>
        <w:kinsoku/>
        <w:wordWrap w:val="0"/>
        <w:bidi w:val="0"/>
        <w:spacing w:before="0" w:after="0" w:line="240" w:lineRule="atLeast"/>
        <w:rPr>
          <w:rFonts w:hint="default" w:ascii="Times New Roman" w:hAnsi="Times New Roman" w:eastAsia="黑体" w:cs="Times New Roman"/>
          <w:b w:val="0"/>
          <w:sz w:val="28"/>
          <w:szCs w:val="28"/>
        </w:rPr>
      </w:pPr>
      <w:bookmarkStart w:id="2" w:name="_Toc234832932"/>
      <w:bookmarkStart w:id="3" w:name="_Toc17606"/>
      <w:r>
        <w:rPr>
          <w:rFonts w:hint="default" w:ascii="Times New Roman" w:hAnsi="Times New Roman" w:eastAsia="黑体" w:cs="Times New Roman"/>
          <w:b w:val="0"/>
          <w:sz w:val="24"/>
          <w:szCs w:val="24"/>
        </w:rPr>
        <w:t>评标办法前附表</w:t>
      </w:r>
      <w:r>
        <w:rPr>
          <w:rFonts w:hint="default" w:ascii="Times New Roman" w:hAnsi="Times New Roman" w:eastAsia="黑体" w:cs="Times New Roman"/>
          <w:b w:val="0"/>
          <w:sz w:val="28"/>
          <w:szCs w:val="28"/>
        </w:rPr>
        <w:t xml:space="preserve"> </w:t>
      </w:r>
      <w:r>
        <w:rPr>
          <w:rStyle w:val="10"/>
          <w:rFonts w:hint="default" w:ascii="Times New Roman" w:hAnsi="Times New Roman" w:cs="Times New Roman"/>
          <w:sz w:val="28"/>
          <w:szCs w:val="28"/>
        </w:rPr>
        <w:footnoteReference w:id="1"/>
      </w:r>
      <w:bookmarkEnd w:id="2"/>
      <w:bookmarkEnd w:id="3"/>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6616"/>
      </w:tblGrid>
      <w:tr w14:paraId="7B843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noWrap w:val="0"/>
            <w:vAlign w:val="center"/>
          </w:tcPr>
          <w:p w14:paraId="51DD6265">
            <w:pPr>
              <w:pageBreakBefore w:val="0"/>
              <w:kinsoku/>
              <w:wordWrap w:val="0"/>
              <w:bidi w:val="0"/>
              <w:spacing w:line="400" w:lineRule="atLeast"/>
              <w:jc w:val="center"/>
              <w:rPr>
                <w:rFonts w:hint="default" w:ascii="Times New Roman" w:hAnsi="Times New Roman" w:cs="Times New Roman"/>
                <w:b/>
                <w:szCs w:val="21"/>
              </w:rPr>
            </w:pPr>
            <w:r>
              <w:rPr>
                <w:rFonts w:hint="default" w:ascii="Times New Roman" w:hAnsi="Times New Roman" w:cs="Times New Roman"/>
                <w:b/>
                <w:szCs w:val="21"/>
              </w:rPr>
              <w:t>条款号</w:t>
            </w:r>
          </w:p>
        </w:tc>
        <w:tc>
          <w:tcPr>
            <w:tcW w:w="6616" w:type="dxa"/>
            <w:tcBorders>
              <w:top w:val="single" w:color="auto" w:sz="4" w:space="0"/>
              <w:left w:val="single" w:color="auto" w:sz="4" w:space="0"/>
              <w:bottom w:val="single" w:color="auto" w:sz="4" w:space="0"/>
              <w:right w:val="single" w:color="auto" w:sz="4" w:space="0"/>
            </w:tcBorders>
            <w:noWrap w:val="0"/>
            <w:vAlign w:val="center"/>
          </w:tcPr>
          <w:p w14:paraId="05915DE0">
            <w:pPr>
              <w:pageBreakBefore w:val="0"/>
              <w:kinsoku/>
              <w:wordWrap w:val="0"/>
              <w:bidi w:val="0"/>
              <w:spacing w:line="400" w:lineRule="atLeast"/>
              <w:jc w:val="center"/>
              <w:rPr>
                <w:rFonts w:hint="default" w:ascii="Times New Roman" w:hAnsi="Times New Roman" w:cs="Times New Roman"/>
                <w:b/>
                <w:szCs w:val="21"/>
              </w:rPr>
            </w:pPr>
            <w:r>
              <w:rPr>
                <w:rFonts w:hint="default" w:ascii="Times New Roman" w:hAnsi="Times New Roman" w:cs="Times New Roman"/>
                <w:b/>
                <w:szCs w:val="21"/>
              </w:rPr>
              <w:t>评审因素与评审标准</w:t>
            </w:r>
          </w:p>
        </w:tc>
      </w:tr>
      <w:tr w14:paraId="37F38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noWrap w:val="0"/>
            <w:vAlign w:val="center"/>
          </w:tcPr>
          <w:p w14:paraId="040CD652">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w:t>
            </w:r>
          </w:p>
        </w:tc>
        <w:tc>
          <w:tcPr>
            <w:tcW w:w="1124" w:type="dxa"/>
            <w:tcBorders>
              <w:top w:val="single" w:color="auto" w:sz="4" w:space="0"/>
              <w:bottom w:val="single" w:color="auto" w:sz="4" w:space="0"/>
              <w:right w:val="single" w:color="auto" w:sz="4" w:space="0"/>
            </w:tcBorders>
            <w:noWrap w:val="0"/>
            <w:vAlign w:val="center"/>
          </w:tcPr>
          <w:p w14:paraId="07401DA8">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评标方法</w:t>
            </w:r>
          </w:p>
        </w:tc>
        <w:tc>
          <w:tcPr>
            <w:tcW w:w="6616" w:type="dxa"/>
            <w:tcBorders>
              <w:top w:val="single" w:color="auto" w:sz="4" w:space="0"/>
              <w:left w:val="single" w:color="auto" w:sz="4" w:space="0"/>
              <w:right w:val="single" w:color="auto" w:sz="4" w:space="0"/>
            </w:tcBorders>
            <w:noWrap w:val="0"/>
            <w:vAlign w:val="center"/>
          </w:tcPr>
          <w:p w14:paraId="52B98811">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评标价相等时，评标委员会依次按照以下优先顺序推荐中标候选人或确定中标人：</w:t>
            </w:r>
          </w:p>
          <w:p w14:paraId="6EEEF2DE">
            <w:pPr>
              <w:pageBreakBefore w:val="0"/>
              <w:kinsoku/>
              <w:wordWrap w:val="0"/>
              <w:bidi w:val="0"/>
              <w:spacing w:line="360" w:lineRule="atLeast"/>
              <w:rPr>
                <w:rFonts w:hint="default" w:ascii="Times New Roman" w:hAnsi="Times New Roman" w:cs="Times New Roman"/>
                <w:szCs w:val="21"/>
              </w:rPr>
            </w:pPr>
            <w:r>
              <w:rPr>
                <w:rFonts w:hint="default" w:ascii="Times New Roman" w:hAnsi="Times New Roman" w:cs="Times New Roman"/>
                <w:szCs w:val="21"/>
              </w:rPr>
              <w:t>（1）投标报价低的投标人优先；</w:t>
            </w:r>
          </w:p>
          <w:p w14:paraId="3EC996A6">
            <w:pPr>
              <w:pageBreakBefore w:val="0"/>
              <w:kinsoku/>
              <w:wordWrap w:val="0"/>
              <w:bidi w:val="0"/>
              <w:spacing w:line="360" w:lineRule="atLeast"/>
              <w:rPr>
                <w:rFonts w:hint="default" w:ascii="Times New Roman" w:hAnsi="Times New Roman" w:cs="Times New Roman"/>
                <w:szCs w:val="21"/>
              </w:rPr>
            </w:pPr>
            <w:r>
              <w:rPr>
                <w:rFonts w:hint="default" w:ascii="Times New Roman" w:hAnsi="Times New Roman" w:cs="Times New Roman"/>
                <w:szCs w:val="21"/>
              </w:rPr>
              <w:t>（2）被招标项目所在地省级交通运输主管部门评为较高信用等级的投</w:t>
            </w:r>
          </w:p>
          <w:p w14:paraId="68946C02">
            <w:pPr>
              <w:pageBreakBefore w:val="0"/>
              <w:kinsoku/>
              <w:wordWrap w:val="0"/>
              <w:bidi w:val="0"/>
              <w:spacing w:line="360" w:lineRule="atLeast"/>
              <w:rPr>
                <w:rFonts w:hint="default" w:ascii="Times New Roman" w:hAnsi="Times New Roman" w:cs="Times New Roman"/>
                <w:szCs w:val="21"/>
              </w:rPr>
            </w:pPr>
            <w:r>
              <w:rPr>
                <w:rFonts w:hint="default" w:ascii="Times New Roman" w:hAnsi="Times New Roman" w:cs="Times New Roman"/>
                <w:szCs w:val="21"/>
              </w:rPr>
              <w:t>标人优先；</w:t>
            </w:r>
          </w:p>
          <w:p w14:paraId="49953056">
            <w:pPr>
              <w:pageBreakBefore w:val="0"/>
              <w:numPr>
                <w:ilvl w:val="0"/>
                <w:numId w:val="1"/>
              </w:numPr>
              <w:kinsoku/>
              <w:wordWrap w:val="0"/>
              <w:bidi w:val="0"/>
              <w:spacing w:line="360" w:lineRule="atLeast"/>
              <w:ind w:left="0" w:leftChars="0" w:firstLine="0" w:firstLineChars="0"/>
              <w:rPr>
                <w:rFonts w:hint="default" w:ascii="Times New Roman" w:hAnsi="Times New Roman" w:cs="Times New Roman"/>
                <w:szCs w:val="21"/>
              </w:rPr>
            </w:pPr>
            <w:r>
              <w:rPr>
                <w:rFonts w:hint="default" w:ascii="Times New Roman" w:hAnsi="Times New Roman" w:cs="Times New Roman"/>
                <w:szCs w:val="21"/>
              </w:rPr>
              <w:t>商务和技术得分较高的投标人优先；</w:t>
            </w:r>
          </w:p>
          <w:p w14:paraId="34F3621F">
            <w:pPr>
              <w:pageBreakBefore w:val="0"/>
              <w:numPr>
                <w:ilvl w:val="0"/>
                <w:numId w:val="1"/>
              </w:numPr>
              <w:kinsoku/>
              <w:wordWrap w:val="0"/>
              <w:bidi w:val="0"/>
              <w:spacing w:line="360" w:lineRule="atLeast"/>
              <w:ind w:left="0" w:leftChars="0" w:firstLine="0" w:firstLineChars="0"/>
              <w:rPr>
                <w:rFonts w:hint="default" w:ascii="Times New Roman" w:hAnsi="Times New Roman" w:cs="Times New Roman"/>
                <w:szCs w:val="21"/>
              </w:rPr>
            </w:pPr>
            <w:r>
              <w:rPr>
                <w:rFonts w:hint="default" w:ascii="Times New Roman" w:hAnsi="Times New Roman" w:cs="Times New Roman"/>
                <w:szCs w:val="21"/>
              </w:rPr>
              <w:t>详见随招标文件下载的“招标文件的其他材料 ”载明的评标办法</w:t>
            </w:r>
            <w:r>
              <w:rPr>
                <w:rFonts w:hint="eastAsia" w:cs="Times New Roman"/>
                <w:szCs w:val="21"/>
                <w:lang w:eastAsia="zh-CN"/>
              </w:rPr>
              <w:t>。</w:t>
            </w:r>
          </w:p>
        </w:tc>
      </w:tr>
      <w:tr w14:paraId="58EB4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noWrap w:val="0"/>
            <w:vAlign w:val="center"/>
          </w:tcPr>
          <w:p w14:paraId="10371DD6">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2.1.1</w:t>
            </w:r>
          </w:p>
          <w:p w14:paraId="462D15C2">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2.1.3</w:t>
            </w:r>
          </w:p>
        </w:tc>
        <w:tc>
          <w:tcPr>
            <w:tcW w:w="1124" w:type="dxa"/>
            <w:tcBorders>
              <w:top w:val="single" w:color="auto" w:sz="4" w:space="0"/>
              <w:bottom w:val="single" w:color="auto" w:sz="4" w:space="0"/>
              <w:right w:val="single" w:color="auto" w:sz="4" w:space="0"/>
            </w:tcBorders>
            <w:noWrap w:val="0"/>
            <w:vAlign w:val="center"/>
          </w:tcPr>
          <w:p w14:paraId="3423DE45">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形式评审与响应性评审标准</w:t>
            </w:r>
          </w:p>
        </w:tc>
        <w:tc>
          <w:tcPr>
            <w:tcW w:w="6616" w:type="dxa"/>
            <w:tcBorders>
              <w:top w:val="single" w:color="auto" w:sz="4" w:space="0"/>
              <w:left w:val="single" w:color="auto" w:sz="4" w:space="0"/>
              <w:right w:val="single" w:color="auto" w:sz="4" w:space="0"/>
            </w:tcBorders>
            <w:noWrap w:val="0"/>
            <w:vAlign w:val="center"/>
          </w:tcPr>
          <w:p w14:paraId="4662432D">
            <w:pPr>
              <w:pageBreakBefore w:val="0"/>
              <w:kinsoku/>
              <w:wordWrap w:val="0"/>
              <w:bidi w:val="0"/>
              <w:spacing w:line="360" w:lineRule="atLeast"/>
              <w:ind w:firstLine="422" w:firstLineChars="200"/>
              <w:rPr>
                <w:rFonts w:hint="default" w:ascii="Times New Roman" w:hAnsi="Times New Roman" w:cs="Times New Roman"/>
                <w:b/>
                <w:szCs w:val="21"/>
              </w:rPr>
            </w:pPr>
            <w:r>
              <w:rPr>
                <w:rFonts w:hint="default" w:ascii="Times New Roman" w:hAnsi="Times New Roman" w:cs="Times New Roman"/>
                <w:b/>
                <w:szCs w:val="21"/>
              </w:rPr>
              <w:t>第一个信封（商务及技术文件）评审标准：</w:t>
            </w:r>
          </w:p>
          <w:p w14:paraId="61587281">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（1）投标文件按照招标文件规定的格式、内容填写，字迹清晰可辨：</w:t>
            </w:r>
          </w:p>
          <w:p w14:paraId="2445EB50">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a.投标函按招标文件规定填报了项目名称、标段号、补遗书编号（如有）、工期、工程质量要求及安全目标；</w:t>
            </w:r>
          </w:p>
          <w:p w14:paraId="6AB7BE24">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b.投标函附录的所有数据均符合招标文件规定；</w:t>
            </w:r>
          </w:p>
          <w:p w14:paraId="26B329F6">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c.投标文件组成齐全完整，内容均按规定填写。</w:t>
            </w:r>
          </w:p>
          <w:p w14:paraId="4303A9EB">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（2）投标文件上法定代表人或其委托代理人的签字、投标人的单位章盖章齐全，符合招标文件规定。</w:t>
            </w:r>
          </w:p>
          <w:p w14:paraId="57F4460B">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eastAsia" w:cs="Times New Roman"/>
                <w:szCs w:val="21"/>
                <w:lang w:val="en-US" w:eastAsia="zh-CN"/>
              </w:rPr>
              <w:t>3</w:t>
            </w:r>
            <w:r>
              <w:rPr>
                <w:rFonts w:hint="default" w:ascii="Times New Roman" w:hAnsi="Times New Roman" w:cs="Times New Roman"/>
                <w:szCs w:val="21"/>
              </w:rPr>
              <w:t>）投标人按照招标文件的规定提供了投标保证金：</w:t>
            </w:r>
          </w:p>
          <w:p w14:paraId="03AE0426">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a.投标保证金金额符合招标文件规定的金额，且投标保证金有效期不少于投标有效期；</w:t>
            </w:r>
          </w:p>
        </w:tc>
      </w:tr>
    </w:tbl>
    <w:p w14:paraId="06F67DE6">
      <w:pPr>
        <w:pageBreakBefore w:val="0"/>
        <w:kinsoku/>
        <w:wordWrap w:val="0"/>
        <w:bidi w:val="0"/>
        <w:spacing w:line="380" w:lineRule="atLeast"/>
        <w:rPr>
          <w:rFonts w:hint="default" w:ascii="Times New Roman" w:hAnsi="Times New Roman" w:cs="Times New Roman"/>
        </w:rPr>
      </w:pPr>
      <w:r>
        <w:rPr>
          <w:rFonts w:hint="default" w:ascii="Times New Roman" w:hAnsi="Times New Roman" w:cs="Times New Roman"/>
        </w:rPr>
        <w:br w:type="page"/>
      </w: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30"/>
        <w:gridCol w:w="6610"/>
      </w:tblGrid>
      <w:tr w14:paraId="2FB85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0" w:type="dxa"/>
            <w:gridSpan w:val="2"/>
            <w:tcBorders>
              <w:top w:val="nil"/>
              <w:left w:val="nil"/>
              <w:bottom w:val="single" w:color="auto" w:sz="4" w:space="0"/>
              <w:right w:val="nil"/>
            </w:tcBorders>
            <w:noWrap w:val="0"/>
            <w:vAlign w:val="center"/>
          </w:tcPr>
          <w:p w14:paraId="0398BC18">
            <w:pPr>
              <w:pageBreakBefore w:val="0"/>
              <w:kinsoku/>
              <w:wordWrap w:val="0"/>
              <w:bidi w:val="0"/>
              <w:spacing w:line="380" w:lineRule="atLeast"/>
              <w:jc w:val="center"/>
              <w:rPr>
                <w:rFonts w:hint="default" w:ascii="Times New Roman" w:hAnsi="Times New Roman" w:cs="Times New Roman"/>
                <w:b/>
                <w:szCs w:val="21"/>
              </w:rPr>
            </w:pPr>
          </w:p>
        </w:tc>
        <w:tc>
          <w:tcPr>
            <w:tcW w:w="6610" w:type="dxa"/>
            <w:tcBorders>
              <w:top w:val="nil"/>
              <w:left w:val="nil"/>
              <w:bottom w:val="single" w:color="auto" w:sz="4" w:space="0"/>
              <w:right w:val="nil"/>
            </w:tcBorders>
            <w:noWrap w:val="0"/>
            <w:vAlign w:val="center"/>
          </w:tcPr>
          <w:p w14:paraId="418469CC">
            <w:pPr>
              <w:pageBreakBefore w:val="0"/>
              <w:kinsoku/>
              <w:wordWrap w:val="0"/>
              <w:bidi w:val="0"/>
              <w:spacing w:line="380" w:lineRule="atLeast"/>
              <w:jc w:val="right"/>
              <w:rPr>
                <w:rFonts w:hint="default" w:ascii="Times New Roman" w:hAnsi="Times New Roman" w:cs="Times New Roman"/>
                <w:spacing w:val="4"/>
                <w:szCs w:val="21"/>
              </w:rPr>
            </w:pPr>
            <w:r>
              <w:rPr>
                <w:rFonts w:hint="default" w:ascii="Times New Roman" w:hAnsi="Times New Roman" w:cs="Times New Roman"/>
                <w:spacing w:val="4"/>
                <w:szCs w:val="21"/>
              </w:rPr>
              <w:t>续上表</w:t>
            </w:r>
          </w:p>
        </w:tc>
      </w:tr>
      <w:tr w14:paraId="3DDEA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0" w:type="dxa"/>
            <w:gridSpan w:val="2"/>
            <w:tcBorders>
              <w:top w:val="single" w:color="auto" w:sz="4" w:space="0"/>
              <w:bottom w:val="single" w:color="auto" w:sz="4" w:space="0"/>
              <w:right w:val="single" w:color="auto" w:sz="4" w:space="0"/>
            </w:tcBorders>
            <w:noWrap w:val="0"/>
            <w:vAlign w:val="center"/>
          </w:tcPr>
          <w:p w14:paraId="1056C2E7">
            <w:pPr>
              <w:pageBreakBefore w:val="0"/>
              <w:kinsoku/>
              <w:wordWrap w:val="0"/>
              <w:bidi w:val="0"/>
              <w:spacing w:line="380" w:lineRule="atLeast"/>
              <w:jc w:val="center"/>
              <w:rPr>
                <w:rFonts w:hint="default" w:ascii="Times New Roman" w:hAnsi="Times New Roman" w:cs="Times New Roman"/>
                <w:b/>
                <w:szCs w:val="21"/>
              </w:rPr>
            </w:pPr>
            <w:r>
              <w:rPr>
                <w:rFonts w:hint="default" w:ascii="Times New Roman" w:hAnsi="Times New Roman" w:cs="Times New Roman"/>
                <w:b/>
                <w:szCs w:val="21"/>
              </w:rPr>
              <w:t>条款号</w:t>
            </w:r>
          </w:p>
        </w:tc>
        <w:tc>
          <w:tcPr>
            <w:tcW w:w="6610" w:type="dxa"/>
            <w:tcBorders>
              <w:top w:val="single" w:color="auto" w:sz="4" w:space="0"/>
              <w:left w:val="single" w:color="auto" w:sz="4" w:space="0"/>
              <w:bottom w:val="single" w:color="auto" w:sz="4" w:space="0"/>
              <w:right w:val="single" w:color="auto" w:sz="4" w:space="0"/>
            </w:tcBorders>
            <w:noWrap w:val="0"/>
            <w:vAlign w:val="center"/>
          </w:tcPr>
          <w:p w14:paraId="7C9D3DEB">
            <w:pPr>
              <w:pageBreakBefore w:val="0"/>
              <w:kinsoku/>
              <w:wordWrap w:val="0"/>
              <w:bidi w:val="0"/>
              <w:spacing w:line="380" w:lineRule="atLeast"/>
              <w:jc w:val="center"/>
              <w:rPr>
                <w:rFonts w:hint="default" w:ascii="Times New Roman" w:hAnsi="Times New Roman" w:cs="Times New Roman"/>
                <w:b/>
                <w:spacing w:val="4"/>
                <w:szCs w:val="21"/>
              </w:rPr>
            </w:pPr>
            <w:r>
              <w:rPr>
                <w:rFonts w:hint="default" w:ascii="Times New Roman" w:hAnsi="Times New Roman" w:cs="Times New Roman"/>
                <w:b/>
                <w:spacing w:val="4"/>
                <w:szCs w:val="21"/>
              </w:rPr>
              <w:t>评审因素与评审标准</w:t>
            </w:r>
          </w:p>
        </w:tc>
      </w:tr>
      <w:tr w14:paraId="539F7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right w:val="single" w:color="auto" w:sz="4" w:space="0"/>
            </w:tcBorders>
            <w:noWrap w:val="0"/>
            <w:vAlign w:val="center"/>
          </w:tcPr>
          <w:p w14:paraId="6E1EFC8F">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2.1.1</w:t>
            </w:r>
          </w:p>
          <w:p w14:paraId="7D65EE73">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2.1.3</w:t>
            </w:r>
          </w:p>
        </w:tc>
        <w:tc>
          <w:tcPr>
            <w:tcW w:w="1130" w:type="dxa"/>
            <w:tcBorders>
              <w:top w:val="single" w:color="auto" w:sz="4" w:space="0"/>
              <w:right w:val="single" w:color="auto" w:sz="4" w:space="0"/>
            </w:tcBorders>
            <w:noWrap w:val="0"/>
            <w:vAlign w:val="center"/>
          </w:tcPr>
          <w:p w14:paraId="5244635A">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形式评审与响应性评审标准</w:t>
            </w:r>
          </w:p>
        </w:tc>
        <w:tc>
          <w:tcPr>
            <w:tcW w:w="6610" w:type="dxa"/>
            <w:tcBorders>
              <w:top w:val="single" w:color="auto" w:sz="4" w:space="0"/>
              <w:left w:val="single" w:color="auto" w:sz="4" w:space="0"/>
              <w:right w:val="single" w:color="auto" w:sz="4" w:space="0"/>
            </w:tcBorders>
            <w:noWrap w:val="0"/>
            <w:vAlign w:val="center"/>
          </w:tcPr>
          <w:p w14:paraId="61D14114">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b.若投标保证金采用现金或支票形式提交，投标人应在递交投标文件截止时间之前，将投标保证金由投标人的基本账户转入招标人指定账户；</w:t>
            </w:r>
          </w:p>
          <w:p w14:paraId="04C3818F">
            <w:pPr>
              <w:pageBreakBefore w:val="0"/>
              <w:kinsoku/>
              <w:wordWrap w:val="0"/>
              <w:bidi w:val="0"/>
              <w:spacing w:line="360" w:lineRule="atLeast"/>
              <w:ind w:firstLine="384" w:firstLineChars="183"/>
              <w:rPr>
                <w:rFonts w:hint="default" w:ascii="Times New Roman" w:hAnsi="Times New Roman" w:cs="Times New Roman"/>
                <w:szCs w:val="21"/>
              </w:rPr>
            </w:pPr>
            <w:r>
              <w:rPr>
                <w:rFonts w:hint="default" w:ascii="Times New Roman" w:hAnsi="Times New Roman" w:cs="Times New Roman"/>
                <w:szCs w:val="21"/>
              </w:rPr>
              <w:t>c.若投标保证金采用银行保函形式提交，银行保函的格式、开具保函的银行均满足招标文件要求。</w:t>
            </w:r>
          </w:p>
          <w:p w14:paraId="0016ED29">
            <w:pPr>
              <w:pageBreakBefore w:val="0"/>
              <w:kinsoku/>
              <w:wordWrap w:val="0"/>
              <w:bidi w:val="0"/>
              <w:spacing w:line="360" w:lineRule="atLeast"/>
              <w:ind w:firstLine="384" w:firstLineChars="183"/>
              <w:rPr>
                <w:rFonts w:hint="default" w:ascii="Times New Roman" w:hAnsi="Times New Roman" w:cs="Times New Roman"/>
                <w:szCs w:val="21"/>
              </w:rPr>
            </w:pPr>
            <w:r>
              <w:rPr>
                <w:rFonts w:hint="default" w:ascii="Times New Roman" w:hAnsi="Times New Roman" w:cs="Times New Roman"/>
                <w:szCs w:val="21"/>
              </w:rPr>
              <w:t>（</w:t>
            </w:r>
            <w:r>
              <w:rPr>
                <w:rFonts w:hint="eastAsia" w:cs="Times New Roman"/>
                <w:szCs w:val="21"/>
                <w:lang w:val="en-US" w:eastAsia="zh-CN"/>
              </w:rPr>
              <w:t>4</w:t>
            </w:r>
            <w:r>
              <w:rPr>
                <w:rFonts w:hint="default" w:ascii="Times New Roman" w:hAnsi="Times New Roman" w:cs="Times New Roman"/>
                <w:szCs w:val="21"/>
              </w:rPr>
              <w:t>）投标人法定代表人授权委托代理人签署投标文件的，须提交授权委托书，且授权人和被授权人均在授权委托书上使用CA 数字证书加盖个人电子印章或电子签名章。</w:t>
            </w:r>
          </w:p>
          <w:p w14:paraId="375B42A2">
            <w:pPr>
              <w:pageBreakBefore w:val="0"/>
              <w:kinsoku/>
              <w:wordWrap w:val="0"/>
              <w:bidi w:val="0"/>
              <w:spacing w:line="360" w:lineRule="atLeast"/>
              <w:ind w:firstLine="384" w:firstLineChars="183"/>
              <w:rPr>
                <w:rFonts w:hint="default" w:ascii="Times New Roman" w:hAnsi="Times New Roman" w:cs="Times New Roman"/>
                <w:szCs w:val="21"/>
              </w:rPr>
            </w:pPr>
            <w:r>
              <w:rPr>
                <w:rFonts w:hint="default" w:ascii="Times New Roman" w:hAnsi="Times New Roman" w:cs="Times New Roman"/>
                <w:szCs w:val="21"/>
              </w:rPr>
              <w:t>（</w:t>
            </w:r>
            <w:r>
              <w:rPr>
                <w:rFonts w:hint="eastAsia" w:cs="Times New Roman"/>
                <w:szCs w:val="21"/>
                <w:lang w:val="en-US" w:eastAsia="zh-CN"/>
              </w:rPr>
              <w:t>5</w:t>
            </w:r>
            <w:r>
              <w:rPr>
                <w:rFonts w:hint="default" w:ascii="Times New Roman" w:hAnsi="Times New Roman" w:cs="Times New Roman"/>
                <w:szCs w:val="21"/>
              </w:rPr>
              <w:t>）投标人法定代表人亲自签署投标文件的，提供了法定代表人身份证明，且法定代表人在法定代表人身份证明上使用CA 数字证书加盖个人电子印章或电子签名章。</w:t>
            </w:r>
          </w:p>
          <w:p w14:paraId="2BF5D178">
            <w:pPr>
              <w:pageBreakBefore w:val="0"/>
              <w:kinsoku/>
              <w:wordWrap w:val="0"/>
              <w:bidi w:val="0"/>
              <w:spacing w:line="360" w:lineRule="atLeast"/>
              <w:ind w:firstLine="384" w:firstLineChars="183"/>
              <w:rPr>
                <w:rFonts w:hint="eastAsia" w:ascii="Times New Roman" w:hAnsi="Times New Roman" w:eastAsia="宋体" w:cs="Times New Roman"/>
                <w:szCs w:val="21"/>
                <w:lang w:eastAsia="zh-CN"/>
              </w:rPr>
            </w:pPr>
            <w:r>
              <w:rPr>
                <w:rFonts w:hint="default" w:ascii="Times New Roman" w:hAnsi="Times New Roman" w:cs="Times New Roman"/>
                <w:szCs w:val="21"/>
              </w:rPr>
              <w:t>（</w:t>
            </w:r>
            <w:r>
              <w:rPr>
                <w:rFonts w:hint="eastAsia" w:cs="Times New Roman"/>
                <w:szCs w:val="21"/>
                <w:lang w:val="en-US" w:eastAsia="zh-CN"/>
              </w:rPr>
              <w:t>6</w:t>
            </w:r>
            <w:r>
              <w:rPr>
                <w:rFonts w:hint="default" w:ascii="Times New Roman" w:hAnsi="Times New Roman" w:cs="Times New Roman"/>
                <w:szCs w:val="21"/>
              </w:rPr>
              <w:t>）投标人以联合体形式投标时，联合体满足招标文件的要求：投标人按照招标文件提供的格式签订了联合体协议书，</w:t>
            </w:r>
            <w:r>
              <w:rPr>
                <w:rFonts w:hint="default" w:ascii="Times New Roman" w:hAnsi="Times New Roman" w:cs="Times New Roman"/>
              </w:rPr>
              <w:t>明确各方承担连带责任，</w:t>
            </w:r>
            <w:r>
              <w:rPr>
                <w:rFonts w:hint="default" w:ascii="Times New Roman" w:hAnsi="Times New Roman" w:cs="Times New Roman"/>
                <w:szCs w:val="21"/>
              </w:rPr>
              <w:t>并明确了联合体牵头人</w:t>
            </w:r>
            <w:r>
              <w:rPr>
                <w:rFonts w:hint="eastAsia" w:cs="Times New Roman"/>
                <w:szCs w:val="21"/>
                <w:lang w:eastAsia="zh-CN"/>
              </w:rPr>
              <w:t>。</w:t>
            </w:r>
          </w:p>
          <w:p w14:paraId="3625D75D">
            <w:pPr>
              <w:pageBreakBefore w:val="0"/>
              <w:kinsoku/>
              <w:wordWrap w:val="0"/>
              <w:bidi w:val="0"/>
              <w:spacing w:line="360" w:lineRule="atLeast"/>
              <w:ind w:firstLine="384" w:firstLineChars="183"/>
              <w:rPr>
                <w:rFonts w:hint="default" w:ascii="Times New Roman" w:hAnsi="Times New Roman" w:cs="Times New Roman"/>
                <w:szCs w:val="21"/>
              </w:rPr>
            </w:pPr>
            <w:r>
              <w:rPr>
                <w:rFonts w:hint="default" w:ascii="Times New Roman" w:hAnsi="Times New Roman" w:cs="Times New Roman"/>
                <w:szCs w:val="21"/>
              </w:rPr>
              <w:t>（</w:t>
            </w:r>
            <w:r>
              <w:rPr>
                <w:rFonts w:hint="eastAsia" w:cs="Times New Roman"/>
                <w:szCs w:val="21"/>
                <w:lang w:val="en-US" w:eastAsia="zh-CN"/>
              </w:rPr>
              <w:t>7</w:t>
            </w:r>
            <w:r>
              <w:rPr>
                <w:rFonts w:hint="default" w:ascii="Times New Roman" w:hAnsi="Times New Roman" w:cs="Times New Roman"/>
                <w:szCs w:val="21"/>
              </w:rPr>
              <w:t>）投标人如有分包计划，符合招标文件第二章</w:t>
            </w:r>
            <w:r>
              <w:rPr>
                <w:rFonts w:hint="eastAsia" w:ascii="宋体" w:hAnsi="宋体" w:eastAsia="宋体" w:cs="宋体"/>
                <w:szCs w:val="21"/>
              </w:rPr>
              <w:t>“</w:t>
            </w:r>
            <w:r>
              <w:rPr>
                <w:rFonts w:hint="default" w:ascii="Times New Roman" w:hAnsi="Times New Roman" w:cs="Times New Roman"/>
                <w:szCs w:val="21"/>
              </w:rPr>
              <w:t>投标人须知</w:t>
            </w:r>
            <w:r>
              <w:rPr>
                <w:rFonts w:hint="eastAsia" w:ascii="宋体" w:hAnsi="宋体" w:eastAsia="宋体" w:cs="宋体"/>
                <w:szCs w:val="21"/>
              </w:rPr>
              <w:t>”</w:t>
            </w:r>
            <w:r>
              <w:rPr>
                <w:rFonts w:hint="default" w:ascii="Times New Roman" w:hAnsi="Times New Roman" w:cs="Times New Roman"/>
                <w:szCs w:val="21"/>
              </w:rPr>
              <w:t>第1.11款规定，且按招标文件第九章</w:t>
            </w:r>
            <w:r>
              <w:rPr>
                <w:rFonts w:hint="eastAsia" w:ascii="宋体" w:hAnsi="宋体" w:eastAsia="宋体" w:cs="宋体"/>
                <w:szCs w:val="21"/>
              </w:rPr>
              <w:t>“</w:t>
            </w:r>
            <w:r>
              <w:rPr>
                <w:rFonts w:hint="default" w:ascii="Times New Roman" w:hAnsi="Times New Roman" w:cs="Times New Roman"/>
                <w:szCs w:val="21"/>
              </w:rPr>
              <w:t>投标文件格式</w:t>
            </w:r>
            <w:r>
              <w:rPr>
                <w:rFonts w:hint="eastAsia" w:ascii="宋体" w:hAnsi="宋体" w:eastAsia="宋体" w:cs="宋体"/>
                <w:szCs w:val="21"/>
              </w:rPr>
              <w:t>”</w:t>
            </w:r>
            <w:r>
              <w:rPr>
                <w:rFonts w:hint="default" w:ascii="Times New Roman" w:hAnsi="Times New Roman" w:cs="Times New Roman"/>
                <w:szCs w:val="21"/>
              </w:rPr>
              <w:t>的要求填写了</w:t>
            </w:r>
            <w:r>
              <w:rPr>
                <w:rFonts w:hint="eastAsia" w:ascii="宋体" w:hAnsi="宋体" w:eastAsia="宋体" w:cs="宋体"/>
                <w:szCs w:val="21"/>
              </w:rPr>
              <w:t>“</w:t>
            </w:r>
            <w:r>
              <w:rPr>
                <w:rFonts w:hint="default" w:ascii="Times New Roman" w:hAnsi="Times New Roman" w:cs="Times New Roman"/>
                <w:szCs w:val="21"/>
              </w:rPr>
              <w:t>拟分包项目情况表</w:t>
            </w:r>
            <w:r>
              <w:rPr>
                <w:rFonts w:hint="eastAsia" w:ascii="宋体" w:hAnsi="宋体" w:eastAsia="宋体" w:cs="宋体"/>
                <w:szCs w:val="21"/>
              </w:rPr>
              <w:t>”</w:t>
            </w:r>
            <w:r>
              <w:rPr>
                <w:rFonts w:hint="default" w:ascii="Times New Roman" w:hAnsi="Times New Roman" w:cs="Times New Roman"/>
                <w:szCs w:val="21"/>
              </w:rPr>
              <w:t>。</w:t>
            </w:r>
          </w:p>
          <w:p w14:paraId="345739CA">
            <w:pPr>
              <w:pageBreakBefore w:val="0"/>
              <w:kinsoku/>
              <w:wordWrap w:val="0"/>
              <w:bidi w:val="0"/>
              <w:spacing w:line="360" w:lineRule="atLeast"/>
              <w:ind w:firstLine="384" w:firstLineChars="183"/>
              <w:rPr>
                <w:rFonts w:hint="default" w:ascii="Times New Roman" w:hAnsi="Times New Roman" w:cs="Times New Roman"/>
                <w:szCs w:val="21"/>
              </w:rPr>
            </w:pPr>
            <w:r>
              <w:rPr>
                <w:rFonts w:hint="default" w:ascii="Times New Roman" w:hAnsi="Times New Roman" w:cs="Times New Roman"/>
                <w:szCs w:val="21"/>
              </w:rPr>
              <w:t>（</w:t>
            </w:r>
            <w:r>
              <w:rPr>
                <w:rFonts w:hint="eastAsia" w:cs="Times New Roman"/>
                <w:szCs w:val="21"/>
                <w:lang w:val="en-US" w:eastAsia="zh-CN"/>
              </w:rPr>
              <w:t>8</w:t>
            </w:r>
            <w:r>
              <w:rPr>
                <w:rFonts w:hint="default" w:ascii="Times New Roman" w:hAnsi="Times New Roman" w:cs="Times New Roman"/>
                <w:szCs w:val="21"/>
              </w:rPr>
              <w:t>）同一投标人未提交两个以上不同的投标文件，但招标文件要求提交备选投标的除外。</w:t>
            </w:r>
          </w:p>
          <w:p w14:paraId="358D87F6">
            <w:pPr>
              <w:pageBreakBefore w:val="0"/>
              <w:kinsoku/>
              <w:wordWrap w:val="0"/>
              <w:bidi w:val="0"/>
              <w:spacing w:line="360" w:lineRule="atLeast"/>
              <w:ind w:firstLine="384" w:firstLineChars="183"/>
              <w:rPr>
                <w:rFonts w:hint="default" w:ascii="Times New Roman" w:hAnsi="Times New Roman" w:cs="Times New Roman"/>
                <w:szCs w:val="21"/>
              </w:rPr>
            </w:pPr>
            <w:r>
              <w:rPr>
                <w:rFonts w:hint="default" w:ascii="Times New Roman" w:hAnsi="Times New Roman" w:cs="Times New Roman"/>
                <w:szCs w:val="21"/>
              </w:rPr>
              <w:t>（</w:t>
            </w:r>
            <w:r>
              <w:rPr>
                <w:rFonts w:hint="eastAsia" w:cs="Times New Roman"/>
                <w:szCs w:val="21"/>
                <w:lang w:val="en-US" w:eastAsia="zh-CN"/>
              </w:rPr>
              <w:t>9</w:t>
            </w:r>
            <w:r>
              <w:rPr>
                <w:rFonts w:hint="default" w:ascii="Times New Roman" w:hAnsi="Times New Roman" w:cs="Times New Roman"/>
                <w:szCs w:val="21"/>
              </w:rPr>
              <w:t>）投标文件中未出现有关投标报价的内容。</w:t>
            </w:r>
          </w:p>
          <w:p w14:paraId="0AD7869A">
            <w:pPr>
              <w:pageBreakBefore w:val="0"/>
              <w:kinsoku/>
              <w:wordWrap w:val="0"/>
              <w:bidi w:val="0"/>
              <w:spacing w:line="360" w:lineRule="atLeast"/>
              <w:ind w:firstLine="384" w:firstLineChars="183"/>
              <w:rPr>
                <w:rFonts w:hint="default" w:ascii="Times New Roman" w:hAnsi="Times New Roman" w:cs="Times New Roman"/>
                <w:szCs w:val="21"/>
              </w:rPr>
            </w:pPr>
            <w:r>
              <w:rPr>
                <w:rFonts w:hint="default" w:ascii="Times New Roman" w:hAnsi="Times New Roman" w:cs="Times New Roman"/>
                <w:szCs w:val="21"/>
              </w:rPr>
              <w:t>（1</w:t>
            </w:r>
            <w:r>
              <w:rPr>
                <w:rFonts w:hint="eastAsia" w:cs="Times New Roman"/>
                <w:szCs w:val="21"/>
                <w:lang w:val="en-US" w:eastAsia="zh-CN"/>
              </w:rPr>
              <w:t>0</w:t>
            </w:r>
            <w:r>
              <w:rPr>
                <w:rFonts w:hint="default" w:ascii="Times New Roman" w:hAnsi="Times New Roman" w:cs="Times New Roman"/>
                <w:szCs w:val="21"/>
              </w:rPr>
              <w:t>）投标文件载明的招标项目完成期限未超过招标文件规定的时限。</w:t>
            </w:r>
          </w:p>
          <w:p w14:paraId="4969C33A">
            <w:pPr>
              <w:pageBreakBefore w:val="0"/>
              <w:kinsoku/>
              <w:wordWrap w:val="0"/>
              <w:bidi w:val="0"/>
              <w:spacing w:line="360" w:lineRule="atLeast"/>
              <w:ind w:firstLine="384" w:firstLineChars="183"/>
              <w:rPr>
                <w:rFonts w:hint="default" w:ascii="Times New Roman" w:hAnsi="Times New Roman" w:cs="Times New Roman"/>
                <w:szCs w:val="21"/>
              </w:rPr>
            </w:pPr>
            <w:r>
              <w:rPr>
                <w:rFonts w:hint="default" w:ascii="Times New Roman" w:hAnsi="Times New Roman" w:cs="Times New Roman"/>
                <w:szCs w:val="21"/>
              </w:rPr>
              <w:t>（1</w:t>
            </w:r>
            <w:r>
              <w:rPr>
                <w:rFonts w:hint="eastAsia" w:cs="Times New Roman"/>
                <w:szCs w:val="21"/>
                <w:lang w:val="en-US" w:eastAsia="zh-CN"/>
              </w:rPr>
              <w:t>1</w:t>
            </w:r>
            <w:r>
              <w:rPr>
                <w:rFonts w:hint="default" w:ascii="Times New Roman" w:hAnsi="Times New Roman" w:cs="Times New Roman"/>
                <w:szCs w:val="21"/>
              </w:rPr>
              <w:t>）投标文件对招标文件的实质性要求和条件作出响应。</w:t>
            </w:r>
          </w:p>
          <w:p w14:paraId="7A8DD0D3">
            <w:pPr>
              <w:pageBreakBefore w:val="0"/>
              <w:kinsoku/>
              <w:wordWrap w:val="0"/>
              <w:bidi w:val="0"/>
              <w:spacing w:line="360" w:lineRule="atLeast"/>
              <w:ind w:firstLine="384" w:firstLineChars="183"/>
              <w:rPr>
                <w:rFonts w:hint="default" w:ascii="Times New Roman" w:hAnsi="Times New Roman" w:cs="Times New Roman"/>
                <w:szCs w:val="21"/>
              </w:rPr>
            </w:pPr>
            <w:r>
              <w:rPr>
                <w:rFonts w:hint="default" w:ascii="Times New Roman" w:hAnsi="Times New Roman" w:cs="Times New Roman"/>
                <w:szCs w:val="21"/>
              </w:rPr>
              <w:t>（1</w:t>
            </w:r>
            <w:r>
              <w:rPr>
                <w:rFonts w:hint="eastAsia" w:cs="Times New Roman"/>
                <w:szCs w:val="21"/>
                <w:lang w:val="en-US" w:eastAsia="zh-CN"/>
              </w:rPr>
              <w:t>2</w:t>
            </w:r>
            <w:r>
              <w:rPr>
                <w:rFonts w:hint="default" w:ascii="Times New Roman" w:hAnsi="Times New Roman" w:cs="Times New Roman"/>
                <w:szCs w:val="21"/>
              </w:rPr>
              <w:t>）权利义务符合招标文件规定：</w:t>
            </w:r>
          </w:p>
          <w:p w14:paraId="69730A04">
            <w:pPr>
              <w:pageBreakBefore w:val="0"/>
              <w:kinsoku/>
              <w:wordWrap w:val="0"/>
              <w:bidi w:val="0"/>
              <w:spacing w:line="360" w:lineRule="atLeast"/>
              <w:ind w:firstLine="384" w:firstLineChars="183"/>
              <w:rPr>
                <w:rFonts w:hint="default" w:ascii="Times New Roman" w:hAnsi="Times New Roman" w:cs="Times New Roman"/>
                <w:szCs w:val="21"/>
              </w:rPr>
            </w:pPr>
            <w:r>
              <w:rPr>
                <w:rFonts w:hint="default" w:ascii="Times New Roman" w:hAnsi="Times New Roman" w:cs="Times New Roman"/>
                <w:szCs w:val="21"/>
              </w:rPr>
              <w:t>a.投标人应接受招标文件规定的风险划分原则，未提出新的风险划分办法；</w:t>
            </w:r>
          </w:p>
          <w:p w14:paraId="144030C7">
            <w:pPr>
              <w:pageBreakBefore w:val="0"/>
              <w:kinsoku/>
              <w:wordWrap w:val="0"/>
              <w:bidi w:val="0"/>
              <w:spacing w:line="360" w:lineRule="atLeast"/>
              <w:ind w:firstLine="384" w:firstLineChars="183"/>
              <w:rPr>
                <w:rFonts w:hint="default" w:ascii="Times New Roman" w:hAnsi="Times New Roman" w:cs="Times New Roman"/>
                <w:szCs w:val="21"/>
              </w:rPr>
            </w:pPr>
            <w:r>
              <w:rPr>
                <w:rFonts w:hint="default" w:ascii="Times New Roman" w:hAnsi="Times New Roman" w:cs="Times New Roman"/>
                <w:szCs w:val="21"/>
              </w:rPr>
              <w:t>b.投标人未增加发包人的责任范围，或减少投标人义务；</w:t>
            </w:r>
          </w:p>
          <w:p w14:paraId="0971DF20">
            <w:pPr>
              <w:pageBreakBefore w:val="0"/>
              <w:kinsoku/>
              <w:wordWrap w:val="0"/>
              <w:bidi w:val="0"/>
              <w:spacing w:line="360" w:lineRule="atLeast"/>
              <w:ind w:firstLine="384" w:firstLineChars="183"/>
              <w:rPr>
                <w:rFonts w:hint="default" w:ascii="Times New Roman" w:hAnsi="Times New Roman" w:cs="Times New Roman"/>
                <w:szCs w:val="21"/>
              </w:rPr>
            </w:pPr>
            <w:r>
              <w:rPr>
                <w:rFonts w:hint="default" w:ascii="Times New Roman" w:hAnsi="Times New Roman" w:cs="Times New Roman"/>
                <w:szCs w:val="21"/>
              </w:rPr>
              <w:t>c.投标人未提出不同的工程验收、计量、支付办法；</w:t>
            </w:r>
          </w:p>
          <w:p w14:paraId="4F574408">
            <w:pPr>
              <w:pageBreakBefore w:val="0"/>
              <w:kinsoku/>
              <w:wordWrap w:val="0"/>
              <w:bidi w:val="0"/>
              <w:spacing w:line="360" w:lineRule="atLeast"/>
              <w:ind w:firstLine="384" w:firstLineChars="183"/>
              <w:rPr>
                <w:rFonts w:hint="default" w:ascii="Times New Roman" w:hAnsi="Times New Roman" w:cs="Times New Roman"/>
                <w:szCs w:val="21"/>
              </w:rPr>
            </w:pPr>
            <w:r>
              <w:rPr>
                <w:rFonts w:hint="default" w:ascii="Times New Roman" w:hAnsi="Times New Roman" w:cs="Times New Roman"/>
                <w:szCs w:val="21"/>
              </w:rPr>
              <w:t>d.投标人对合同纠纷、事故处理办法未提出异议；</w:t>
            </w:r>
          </w:p>
          <w:p w14:paraId="7D1036DE">
            <w:pPr>
              <w:pageBreakBefore w:val="0"/>
              <w:kinsoku/>
              <w:wordWrap w:val="0"/>
              <w:bidi w:val="0"/>
              <w:spacing w:line="360" w:lineRule="atLeast"/>
              <w:ind w:firstLine="384" w:firstLineChars="183"/>
              <w:rPr>
                <w:rFonts w:hint="default" w:ascii="Times New Roman" w:hAnsi="Times New Roman" w:cs="Times New Roman"/>
                <w:szCs w:val="21"/>
              </w:rPr>
            </w:pPr>
            <w:r>
              <w:rPr>
                <w:rFonts w:hint="default" w:ascii="Times New Roman" w:hAnsi="Times New Roman" w:cs="Times New Roman"/>
                <w:szCs w:val="21"/>
              </w:rPr>
              <w:t>e.投标人在投标活动中无欺诈行为；</w:t>
            </w:r>
          </w:p>
          <w:p w14:paraId="4D7462A2">
            <w:pPr>
              <w:pageBreakBefore w:val="0"/>
              <w:kinsoku/>
              <w:wordWrap w:val="0"/>
              <w:bidi w:val="0"/>
              <w:spacing w:line="360" w:lineRule="atLeast"/>
              <w:ind w:firstLine="384" w:firstLineChars="183"/>
              <w:rPr>
                <w:rFonts w:hint="default" w:ascii="Times New Roman" w:hAnsi="Times New Roman" w:cs="Times New Roman"/>
                <w:szCs w:val="21"/>
              </w:rPr>
            </w:pPr>
            <w:r>
              <w:rPr>
                <w:rFonts w:hint="default" w:ascii="Times New Roman" w:hAnsi="Times New Roman" w:cs="Times New Roman"/>
                <w:szCs w:val="21"/>
              </w:rPr>
              <w:t>f.投标人未对合同条款有重要保留。</w:t>
            </w:r>
          </w:p>
        </w:tc>
      </w:tr>
    </w:tbl>
    <w:p w14:paraId="3C2496F6">
      <w:pPr>
        <w:pageBreakBefore w:val="0"/>
        <w:kinsoku/>
        <w:wordWrap w:val="0"/>
        <w:bidi w:val="0"/>
        <w:spacing w:line="380" w:lineRule="atLeast"/>
        <w:rPr>
          <w:rFonts w:hint="default"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36"/>
        <w:gridCol w:w="1505"/>
        <w:gridCol w:w="1274"/>
        <w:gridCol w:w="1274"/>
        <w:gridCol w:w="969"/>
        <w:gridCol w:w="1582"/>
      </w:tblGrid>
      <w:tr w14:paraId="79EEB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2"/>
            <w:tcBorders>
              <w:top w:val="nil"/>
              <w:left w:val="nil"/>
              <w:bottom w:val="single" w:color="auto" w:sz="4" w:space="0"/>
              <w:right w:val="nil"/>
            </w:tcBorders>
            <w:noWrap w:val="0"/>
            <w:vAlign w:val="center"/>
          </w:tcPr>
          <w:p w14:paraId="6201C91F">
            <w:pPr>
              <w:pageBreakBefore w:val="0"/>
              <w:kinsoku/>
              <w:wordWrap w:val="0"/>
              <w:bidi w:val="0"/>
              <w:spacing w:line="380" w:lineRule="atLeast"/>
              <w:jc w:val="center"/>
              <w:rPr>
                <w:rFonts w:hint="default" w:ascii="Times New Roman" w:hAnsi="Times New Roman" w:cs="Times New Roman"/>
                <w:b/>
                <w:szCs w:val="21"/>
              </w:rPr>
            </w:pPr>
          </w:p>
        </w:tc>
        <w:tc>
          <w:tcPr>
            <w:tcW w:w="6604" w:type="dxa"/>
            <w:gridSpan w:val="5"/>
            <w:tcBorders>
              <w:top w:val="nil"/>
              <w:left w:val="nil"/>
              <w:bottom w:val="single" w:color="auto" w:sz="4" w:space="0"/>
              <w:right w:val="nil"/>
            </w:tcBorders>
            <w:noWrap w:val="0"/>
            <w:vAlign w:val="center"/>
          </w:tcPr>
          <w:p w14:paraId="7C1267AA">
            <w:pPr>
              <w:pageBreakBefore w:val="0"/>
              <w:kinsoku/>
              <w:wordWrap w:val="0"/>
              <w:bidi w:val="0"/>
              <w:spacing w:line="380" w:lineRule="atLeast"/>
              <w:jc w:val="right"/>
              <w:rPr>
                <w:rFonts w:hint="default" w:ascii="Times New Roman" w:hAnsi="Times New Roman" w:cs="Times New Roman"/>
                <w:spacing w:val="4"/>
                <w:szCs w:val="21"/>
              </w:rPr>
            </w:pPr>
            <w:r>
              <w:rPr>
                <w:rFonts w:hint="default" w:ascii="Times New Roman" w:hAnsi="Times New Roman" w:cs="Times New Roman"/>
                <w:spacing w:val="4"/>
                <w:szCs w:val="21"/>
              </w:rPr>
              <w:t>续上表</w:t>
            </w:r>
          </w:p>
        </w:tc>
      </w:tr>
      <w:tr w14:paraId="1E2D9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2"/>
            <w:tcBorders>
              <w:top w:val="single" w:color="auto" w:sz="4" w:space="0"/>
              <w:bottom w:val="single" w:color="auto" w:sz="4" w:space="0"/>
              <w:right w:val="single" w:color="auto" w:sz="4" w:space="0"/>
            </w:tcBorders>
            <w:noWrap w:val="0"/>
            <w:vAlign w:val="center"/>
          </w:tcPr>
          <w:p w14:paraId="5C1C6C82">
            <w:pPr>
              <w:pageBreakBefore w:val="0"/>
              <w:kinsoku/>
              <w:wordWrap w:val="0"/>
              <w:bidi w:val="0"/>
              <w:spacing w:line="380" w:lineRule="atLeast"/>
              <w:jc w:val="center"/>
              <w:rPr>
                <w:rFonts w:hint="default" w:ascii="Times New Roman" w:hAnsi="Times New Roman" w:cs="Times New Roman"/>
                <w:b/>
                <w:szCs w:val="21"/>
              </w:rPr>
            </w:pPr>
            <w:r>
              <w:rPr>
                <w:rFonts w:hint="default" w:ascii="Times New Roman" w:hAnsi="Times New Roman" w:cs="Times New Roman"/>
                <w:b/>
                <w:szCs w:val="21"/>
              </w:rPr>
              <w:t>条款号</w:t>
            </w:r>
          </w:p>
        </w:tc>
        <w:tc>
          <w:tcPr>
            <w:tcW w:w="6604" w:type="dxa"/>
            <w:gridSpan w:val="5"/>
            <w:tcBorders>
              <w:top w:val="single" w:color="auto" w:sz="4" w:space="0"/>
              <w:left w:val="single" w:color="auto" w:sz="4" w:space="0"/>
              <w:bottom w:val="single" w:color="auto" w:sz="4" w:space="0"/>
              <w:right w:val="single" w:color="auto" w:sz="4" w:space="0"/>
            </w:tcBorders>
            <w:noWrap w:val="0"/>
            <w:vAlign w:val="center"/>
          </w:tcPr>
          <w:p w14:paraId="09380ACD">
            <w:pPr>
              <w:pageBreakBefore w:val="0"/>
              <w:kinsoku/>
              <w:wordWrap w:val="0"/>
              <w:bidi w:val="0"/>
              <w:spacing w:line="380" w:lineRule="atLeast"/>
              <w:jc w:val="center"/>
              <w:rPr>
                <w:rFonts w:hint="default" w:ascii="Times New Roman" w:hAnsi="Times New Roman" w:cs="Times New Roman"/>
                <w:b/>
                <w:spacing w:val="4"/>
                <w:szCs w:val="21"/>
              </w:rPr>
            </w:pPr>
            <w:r>
              <w:rPr>
                <w:rFonts w:hint="default" w:ascii="Times New Roman" w:hAnsi="Times New Roman" w:cs="Times New Roman"/>
                <w:b/>
                <w:spacing w:val="4"/>
                <w:szCs w:val="21"/>
              </w:rPr>
              <w:t>评审因素与评审标准</w:t>
            </w:r>
          </w:p>
        </w:tc>
      </w:tr>
      <w:tr w14:paraId="4B804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right w:val="single" w:color="auto" w:sz="4" w:space="0"/>
            </w:tcBorders>
            <w:noWrap w:val="0"/>
            <w:vAlign w:val="center"/>
          </w:tcPr>
          <w:p w14:paraId="44E0B7E0">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2.1.1</w:t>
            </w:r>
          </w:p>
          <w:p w14:paraId="63B75587">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2.1.3</w:t>
            </w:r>
          </w:p>
        </w:tc>
        <w:tc>
          <w:tcPr>
            <w:tcW w:w="1136" w:type="dxa"/>
            <w:tcBorders>
              <w:top w:val="single" w:color="auto" w:sz="4" w:space="0"/>
              <w:right w:val="single" w:color="auto" w:sz="4" w:space="0"/>
            </w:tcBorders>
            <w:noWrap w:val="0"/>
            <w:vAlign w:val="center"/>
          </w:tcPr>
          <w:p w14:paraId="40C2DE15">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形式评审与响应性评审标准</w:t>
            </w:r>
          </w:p>
        </w:tc>
        <w:tc>
          <w:tcPr>
            <w:tcW w:w="6604" w:type="dxa"/>
            <w:gridSpan w:val="5"/>
            <w:tcBorders>
              <w:top w:val="single" w:color="auto" w:sz="4" w:space="0"/>
              <w:left w:val="single" w:color="auto" w:sz="4" w:space="0"/>
              <w:right w:val="single" w:color="auto" w:sz="4" w:space="0"/>
            </w:tcBorders>
            <w:noWrap w:val="0"/>
            <w:vAlign w:val="center"/>
          </w:tcPr>
          <w:p w14:paraId="0B904191">
            <w:pPr>
              <w:pageBreakBefore w:val="0"/>
              <w:kinsoku/>
              <w:wordWrap w:val="0"/>
              <w:bidi w:val="0"/>
              <w:spacing w:line="360" w:lineRule="atLeast"/>
              <w:ind w:firstLine="384" w:firstLineChars="183"/>
              <w:rPr>
                <w:rFonts w:hint="default" w:ascii="Times New Roman" w:hAnsi="Times New Roman" w:cs="Times New Roman"/>
                <w:szCs w:val="21"/>
              </w:rPr>
            </w:pPr>
            <w:r>
              <w:rPr>
                <w:rFonts w:hint="default" w:ascii="Times New Roman" w:hAnsi="Times New Roman" w:cs="Times New Roman"/>
                <w:szCs w:val="21"/>
              </w:rPr>
              <w:t>（1</w:t>
            </w:r>
            <w:r>
              <w:rPr>
                <w:rFonts w:hint="eastAsia" w:cs="Times New Roman"/>
                <w:szCs w:val="21"/>
                <w:lang w:val="en-US" w:eastAsia="zh-CN"/>
              </w:rPr>
              <w:t>3</w:t>
            </w:r>
            <w:r>
              <w:rPr>
                <w:rFonts w:hint="default" w:ascii="Times New Roman" w:hAnsi="Times New Roman" w:cs="Times New Roman"/>
                <w:szCs w:val="21"/>
              </w:rPr>
              <w:t>）</w:t>
            </w:r>
            <w:r>
              <w:rPr>
                <w:rFonts w:hint="eastAsia" w:ascii="宋体" w:hAnsi="宋体" w:eastAsia="宋体" w:cs="宋体"/>
                <w:szCs w:val="21"/>
              </w:rPr>
              <w:t>“</w:t>
            </w:r>
            <w:r>
              <w:rPr>
                <w:rFonts w:hint="default" w:ascii="Times New Roman" w:hAnsi="Times New Roman" w:cs="Times New Roman"/>
                <w:szCs w:val="21"/>
                <w:lang w:val="en-US" w:eastAsia="zh-CN"/>
              </w:rPr>
              <w:t>施工组织设</w:t>
            </w:r>
            <w:r>
              <w:rPr>
                <w:rFonts w:hint="default" w:ascii="Times New Roman" w:hAnsi="Times New Roman" w:cs="Times New Roman"/>
                <w:szCs w:val="21"/>
                <w:highlight w:val="none"/>
                <w:lang w:val="en-US" w:eastAsia="zh-CN"/>
              </w:rPr>
              <w:t>计</w:t>
            </w:r>
            <w:r>
              <w:rPr>
                <w:rFonts w:hint="eastAsia" w:ascii="宋体" w:hAnsi="宋体" w:eastAsia="宋体" w:cs="宋体"/>
                <w:szCs w:val="21"/>
                <w:highlight w:val="none"/>
              </w:rPr>
              <w:t>”</w:t>
            </w:r>
            <w:r>
              <w:rPr>
                <w:rFonts w:hint="default" w:ascii="Times New Roman" w:hAnsi="Times New Roman" w:cs="Times New Roman"/>
                <w:szCs w:val="21"/>
                <w:highlight w:val="none"/>
              </w:rPr>
              <w:t>采用暗标形式</w:t>
            </w:r>
            <w:r>
              <w:rPr>
                <w:rFonts w:hint="default" w:ascii="Times New Roman" w:hAnsi="Times New Roman" w:cs="Times New Roman"/>
                <w:szCs w:val="21"/>
              </w:rPr>
              <w:t>，其编制须满足招标文件要求。</w:t>
            </w:r>
          </w:p>
          <w:p w14:paraId="1CC5D867">
            <w:pPr>
              <w:pageBreakBefore w:val="0"/>
              <w:kinsoku/>
              <w:wordWrap w:val="0"/>
              <w:bidi w:val="0"/>
              <w:spacing w:line="360" w:lineRule="atLeast"/>
              <w:ind w:firstLine="386" w:firstLineChars="183"/>
              <w:rPr>
                <w:rFonts w:hint="default" w:ascii="Times New Roman" w:hAnsi="Times New Roman" w:cs="Times New Roman"/>
                <w:b/>
                <w:szCs w:val="21"/>
              </w:rPr>
            </w:pPr>
            <w:r>
              <w:rPr>
                <w:rFonts w:hint="default" w:ascii="Times New Roman" w:hAnsi="Times New Roman" w:cs="Times New Roman"/>
                <w:b/>
                <w:szCs w:val="21"/>
              </w:rPr>
              <w:t>第二个信封（报价文件）评审标准：</w:t>
            </w:r>
          </w:p>
          <w:p w14:paraId="55DEB085">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（1）投标文件按照招标文件规定的格式、内容填写，字迹清晰可辨：</w:t>
            </w:r>
          </w:p>
          <w:p w14:paraId="5FA0F257">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a.投标函按招标文件规定填报了项目名称、标段号、补遗书编号（如有）、投标价（包括大写金额和小写金额）；</w:t>
            </w:r>
          </w:p>
          <w:p w14:paraId="50A37756">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b.已标价工程量清单说明文字与招标文件规定一致，未进行实质性修改和删减；</w:t>
            </w:r>
          </w:p>
          <w:p w14:paraId="570B5FC7">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c.投标文件组成齐全完整，内容均按规定填写。</w:t>
            </w:r>
          </w:p>
          <w:p w14:paraId="13275C7F">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（2）投标文件上法定代表人或其委托代理人的签字、投标人的单位章盖章齐全，符合招标文件规定。</w:t>
            </w:r>
          </w:p>
          <w:p w14:paraId="3BB0ECAD">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（3）投标报价或调价函中的报价未超过招标文件设定的最高投标限价（如有）。</w:t>
            </w:r>
          </w:p>
          <w:p w14:paraId="4EE528F0">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（4）投标报价或调价函中报价的大写金额能够确定具体数值。</w:t>
            </w:r>
          </w:p>
          <w:p w14:paraId="06990948">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（5）同一投标人未提交两个以上不同的投标报价，但招标文件要求提交备选投标的除外。</w:t>
            </w:r>
          </w:p>
          <w:p w14:paraId="534FFA2F">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（6）投标人若提交调价函，调价函符合招标文件第二章</w:t>
            </w:r>
            <w:r>
              <w:rPr>
                <w:rFonts w:hint="eastAsia" w:ascii="宋体" w:hAnsi="宋体" w:eastAsia="宋体" w:cs="宋体"/>
                <w:szCs w:val="21"/>
              </w:rPr>
              <w:t>“</w:t>
            </w:r>
            <w:r>
              <w:rPr>
                <w:rFonts w:hint="default" w:ascii="Times New Roman" w:hAnsi="Times New Roman" w:cs="Times New Roman"/>
                <w:szCs w:val="21"/>
              </w:rPr>
              <w:t>投标人须知</w:t>
            </w:r>
            <w:r>
              <w:rPr>
                <w:rFonts w:hint="eastAsia" w:ascii="宋体" w:hAnsi="宋体" w:eastAsia="宋体" w:cs="宋体"/>
                <w:szCs w:val="21"/>
              </w:rPr>
              <w:t>”</w:t>
            </w:r>
            <w:r>
              <w:rPr>
                <w:rFonts w:hint="default" w:ascii="Times New Roman" w:hAnsi="Times New Roman" w:cs="Times New Roman"/>
                <w:szCs w:val="21"/>
              </w:rPr>
              <w:t>第3.2.6项要求。</w:t>
            </w:r>
          </w:p>
          <w:p w14:paraId="3E3F75D6">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（7）投标人若填写工程量固化清单，填写完毕的工程量固化清单未对工程量固化清单电子文件中的数据、格式和运算定义进行修改；工程量固化清单中的投标报价和投标函大写金额报价一致。</w:t>
            </w:r>
          </w:p>
        </w:tc>
      </w:tr>
      <w:tr w14:paraId="654CB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900" w:type="dxa"/>
            <w:tcBorders>
              <w:top w:val="single" w:color="auto" w:sz="4" w:space="0"/>
              <w:right w:val="single" w:color="auto" w:sz="4" w:space="0"/>
            </w:tcBorders>
            <w:noWrap w:val="0"/>
            <w:vAlign w:val="center"/>
          </w:tcPr>
          <w:p w14:paraId="65002D36">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2.1.2</w:t>
            </w:r>
          </w:p>
        </w:tc>
        <w:tc>
          <w:tcPr>
            <w:tcW w:w="1136" w:type="dxa"/>
            <w:tcBorders>
              <w:top w:val="single" w:color="auto" w:sz="4" w:space="0"/>
              <w:right w:val="single" w:color="auto" w:sz="4" w:space="0"/>
            </w:tcBorders>
            <w:noWrap w:val="0"/>
            <w:vAlign w:val="center"/>
          </w:tcPr>
          <w:p w14:paraId="68D9AB4D">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资格评审标准</w:t>
            </w:r>
          </w:p>
        </w:tc>
        <w:tc>
          <w:tcPr>
            <w:tcW w:w="6604" w:type="dxa"/>
            <w:gridSpan w:val="5"/>
            <w:tcBorders>
              <w:top w:val="single" w:color="auto" w:sz="4" w:space="0"/>
              <w:left w:val="single" w:color="auto" w:sz="4" w:space="0"/>
              <w:right w:val="single" w:color="auto" w:sz="4" w:space="0"/>
            </w:tcBorders>
            <w:noWrap w:val="0"/>
            <w:vAlign w:val="center"/>
          </w:tcPr>
          <w:p w14:paraId="75486AF8">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（1）投标人的资质等级符合招标文件规定。</w:t>
            </w:r>
          </w:p>
          <w:p w14:paraId="127D9316">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2</w:t>
            </w:r>
            <w:r>
              <w:rPr>
                <w:rFonts w:hint="default" w:ascii="Times New Roman" w:hAnsi="Times New Roman" w:cs="Times New Roman"/>
                <w:szCs w:val="21"/>
              </w:rPr>
              <w:t>）投标人的财务状况符合招标文件规定。</w:t>
            </w:r>
          </w:p>
          <w:p w14:paraId="0FF6F86B">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3</w:t>
            </w:r>
            <w:r>
              <w:rPr>
                <w:rFonts w:hint="default" w:ascii="Times New Roman" w:hAnsi="Times New Roman" w:cs="Times New Roman"/>
                <w:szCs w:val="21"/>
              </w:rPr>
              <w:t>）投标人的类似项目业绩符合招标文件规定。</w:t>
            </w:r>
          </w:p>
          <w:p w14:paraId="2BE462DE">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4</w:t>
            </w:r>
            <w:r>
              <w:rPr>
                <w:rFonts w:hint="default" w:ascii="Times New Roman" w:hAnsi="Times New Roman" w:cs="Times New Roman"/>
                <w:szCs w:val="21"/>
              </w:rPr>
              <w:t>）投标人的信誉符合招标文件规定。</w:t>
            </w:r>
          </w:p>
          <w:p w14:paraId="6C9ABBE1">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5</w:t>
            </w:r>
            <w:r>
              <w:rPr>
                <w:rFonts w:hint="default" w:ascii="Times New Roman" w:hAnsi="Times New Roman" w:cs="Times New Roman"/>
                <w:szCs w:val="21"/>
              </w:rPr>
              <w:t>）投标人的项目经理和项目总工资格、在岗情况符合招标文件规定。</w:t>
            </w:r>
          </w:p>
          <w:p w14:paraId="14FF3D46">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6</w:t>
            </w:r>
            <w:r>
              <w:rPr>
                <w:rFonts w:hint="default" w:ascii="Times New Roman" w:hAnsi="Times New Roman" w:cs="Times New Roman"/>
                <w:szCs w:val="21"/>
              </w:rPr>
              <w:t>）投标人的其他要求符合招标文件规定。</w:t>
            </w:r>
            <w:r>
              <w:rPr>
                <w:rFonts w:hint="default" w:ascii="Times New Roman" w:hAnsi="Times New Roman" w:cs="Times New Roman"/>
                <w:szCs w:val="21"/>
                <w:vertAlign w:val="superscript"/>
              </w:rPr>
              <w:footnoteReference w:id="2"/>
            </w:r>
          </w:p>
          <w:p w14:paraId="2828A31F">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7</w:t>
            </w:r>
            <w:r>
              <w:rPr>
                <w:rFonts w:hint="default" w:ascii="Times New Roman" w:hAnsi="Times New Roman" w:cs="Times New Roman"/>
                <w:szCs w:val="21"/>
              </w:rPr>
              <w:t>）投标人不存在第二章</w:t>
            </w:r>
            <w:r>
              <w:rPr>
                <w:rFonts w:hint="eastAsia" w:ascii="宋体" w:hAnsi="宋体" w:eastAsia="宋体" w:cs="宋体"/>
                <w:szCs w:val="21"/>
              </w:rPr>
              <w:t>“</w:t>
            </w:r>
            <w:r>
              <w:rPr>
                <w:rFonts w:hint="default" w:ascii="Times New Roman" w:hAnsi="Times New Roman" w:cs="Times New Roman"/>
                <w:szCs w:val="21"/>
              </w:rPr>
              <w:t>投标人须知</w:t>
            </w:r>
            <w:r>
              <w:rPr>
                <w:rFonts w:hint="eastAsia" w:ascii="宋体" w:hAnsi="宋体" w:eastAsia="宋体" w:cs="宋体"/>
                <w:szCs w:val="21"/>
              </w:rPr>
              <w:t>”</w:t>
            </w:r>
            <w:r>
              <w:rPr>
                <w:rFonts w:hint="default" w:ascii="Times New Roman" w:hAnsi="Times New Roman" w:cs="Times New Roman"/>
                <w:szCs w:val="21"/>
              </w:rPr>
              <w:t xml:space="preserve">第1.4.3项或第1.4.4项规定的任何一种情形。 </w:t>
            </w:r>
          </w:p>
          <w:p w14:paraId="59768E63">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8</w:t>
            </w:r>
            <w:r>
              <w:rPr>
                <w:rFonts w:hint="default" w:ascii="Times New Roman" w:hAnsi="Times New Roman" w:cs="Times New Roman"/>
                <w:szCs w:val="21"/>
              </w:rPr>
              <w:t>）投标人符合第二章</w:t>
            </w:r>
            <w:r>
              <w:rPr>
                <w:rFonts w:hint="eastAsia" w:ascii="宋体" w:hAnsi="宋体" w:eastAsia="宋体" w:cs="宋体"/>
                <w:szCs w:val="21"/>
              </w:rPr>
              <w:t>“</w:t>
            </w:r>
            <w:r>
              <w:rPr>
                <w:rFonts w:hint="default" w:ascii="Times New Roman" w:hAnsi="Times New Roman" w:cs="Times New Roman"/>
                <w:szCs w:val="21"/>
              </w:rPr>
              <w:t>投标人须知</w:t>
            </w:r>
            <w:r>
              <w:rPr>
                <w:rFonts w:hint="eastAsia" w:ascii="宋体" w:hAnsi="宋体" w:eastAsia="宋体" w:cs="宋体"/>
                <w:szCs w:val="21"/>
              </w:rPr>
              <w:t>”</w:t>
            </w:r>
            <w:r>
              <w:rPr>
                <w:rFonts w:hint="default" w:ascii="Times New Roman" w:hAnsi="Times New Roman" w:cs="Times New Roman"/>
                <w:szCs w:val="21"/>
              </w:rPr>
              <w:t>第1.4.5项规定。</w:t>
            </w:r>
            <w:r>
              <w:rPr>
                <w:rStyle w:val="10"/>
                <w:rFonts w:hint="default" w:ascii="Times New Roman" w:hAnsi="Times New Roman" w:cs="Times New Roman"/>
              </w:rPr>
              <w:footnoteReference w:id="3"/>
            </w:r>
          </w:p>
          <w:p w14:paraId="65AE8166">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9</w:t>
            </w:r>
            <w:r>
              <w:rPr>
                <w:rFonts w:hint="default" w:ascii="Times New Roman" w:hAnsi="Times New Roman" w:cs="Times New Roman"/>
                <w:szCs w:val="21"/>
              </w:rPr>
              <w:t>）以联合体形式参与投标的，联合体各方均未再以自己名义单独或参加其他联合体在同一标段中投标；独立参与投标的，投标人未同时参加联合体在同一标段中投标。</w:t>
            </w:r>
          </w:p>
        </w:tc>
      </w:tr>
      <w:tr w14:paraId="26664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2"/>
            <w:tcBorders>
              <w:top w:val="single" w:color="auto" w:sz="4" w:space="0"/>
              <w:bottom w:val="single" w:color="auto" w:sz="4" w:space="0"/>
              <w:right w:val="single" w:color="auto" w:sz="4" w:space="0"/>
            </w:tcBorders>
            <w:noWrap w:val="0"/>
            <w:vAlign w:val="center"/>
          </w:tcPr>
          <w:p w14:paraId="3C130EE6">
            <w:pPr>
              <w:pageBreakBefore w:val="0"/>
              <w:kinsoku/>
              <w:wordWrap w:val="0"/>
              <w:bidi w:val="0"/>
              <w:spacing w:line="360" w:lineRule="atLeast"/>
              <w:jc w:val="center"/>
              <w:rPr>
                <w:rFonts w:hint="default" w:ascii="Times New Roman" w:hAnsi="Times New Roman" w:cs="Times New Roman"/>
                <w:b/>
                <w:szCs w:val="21"/>
              </w:rPr>
            </w:pPr>
            <w:r>
              <w:rPr>
                <w:rFonts w:hint="default" w:ascii="Times New Roman" w:hAnsi="Times New Roman" w:cs="Times New Roman"/>
                <w:b/>
                <w:szCs w:val="21"/>
              </w:rPr>
              <w:t>条款号</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144415C6">
            <w:pPr>
              <w:pageBreakBefore w:val="0"/>
              <w:kinsoku/>
              <w:wordWrap w:val="0"/>
              <w:bidi w:val="0"/>
              <w:spacing w:line="360" w:lineRule="atLeast"/>
              <w:jc w:val="center"/>
              <w:rPr>
                <w:rFonts w:hint="default" w:ascii="Times New Roman" w:hAnsi="Times New Roman" w:cs="Times New Roman"/>
                <w:b/>
                <w:szCs w:val="21"/>
              </w:rPr>
            </w:pPr>
            <w:r>
              <w:rPr>
                <w:rFonts w:hint="default" w:ascii="Times New Roman" w:hAnsi="Times New Roman" w:cs="Times New Roman"/>
                <w:b/>
                <w:szCs w:val="21"/>
              </w:rPr>
              <w:t>条款内容</w:t>
            </w:r>
          </w:p>
        </w:tc>
        <w:tc>
          <w:tcPr>
            <w:tcW w:w="5099" w:type="dxa"/>
            <w:gridSpan w:val="4"/>
            <w:tcBorders>
              <w:top w:val="single" w:color="auto" w:sz="4" w:space="0"/>
              <w:left w:val="single" w:color="auto" w:sz="4" w:space="0"/>
              <w:bottom w:val="single" w:color="auto" w:sz="4" w:space="0"/>
              <w:right w:val="single" w:color="auto" w:sz="4" w:space="0"/>
            </w:tcBorders>
            <w:noWrap w:val="0"/>
            <w:vAlign w:val="center"/>
          </w:tcPr>
          <w:p w14:paraId="538C1897">
            <w:pPr>
              <w:pageBreakBefore w:val="0"/>
              <w:kinsoku/>
              <w:wordWrap w:val="0"/>
              <w:bidi w:val="0"/>
              <w:spacing w:line="360" w:lineRule="atLeast"/>
              <w:jc w:val="center"/>
              <w:rPr>
                <w:rFonts w:hint="default" w:ascii="Times New Roman" w:hAnsi="Times New Roman" w:cs="Times New Roman"/>
                <w:b/>
                <w:szCs w:val="21"/>
              </w:rPr>
            </w:pPr>
            <w:r>
              <w:rPr>
                <w:rFonts w:hint="default" w:ascii="Times New Roman" w:hAnsi="Times New Roman" w:cs="Times New Roman"/>
                <w:b/>
                <w:szCs w:val="21"/>
              </w:rPr>
              <w:t>编列内容</w:t>
            </w:r>
          </w:p>
        </w:tc>
      </w:tr>
      <w:tr w14:paraId="74215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2"/>
            <w:tcBorders>
              <w:bottom w:val="single" w:color="auto" w:sz="4" w:space="0"/>
              <w:right w:val="single" w:color="auto" w:sz="4" w:space="0"/>
            </w:tcBorders>
            <w:noWrap w:val="0"/>
            <w:vAlign w:val="center"/>
          </w:tcPr>
          <w:p w14:paraId="1FB513BF">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2.2.1</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39E49796">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分值构成</w:t>
            </w:r>
          </w:p>
          <w:p w14:paraId="2A63319A">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（总分100分）</w:t>
            </w:r>
          </w:p>
        </w:tc>
        <w:tc>
          <w:tcPr>
            <w:tcW w:w="5099" w:type="dxa"/>
            <w:gridSpan w:val="4"/>
            <w:tcBorders>
              <w:top w:val="single" w:color="auto" w:sz="4" w:space="0"/>
              <w:left w:val="single" w:color="auto" w:sz="4" w:space="0"/>
              <w:bottom w:val="single" w:color="auto" w:sz="4" w:space="0"/>
              <w:right w:val="single" w:color="auto" w:sz="4" w:space="0"/>
            </w:tcBorders>
            <w:noWrap w:val="0"/>
            <w:vAlign w:val="center"/>
          </w:tcPr>
          <w:p w14:paraId="3EAB2154">
            <w:pPr>
              <w:pageBreakBefore w:val="0"/>
              <w:kinsoku/>
              <w:wordWrap w:val="0"/>
              <w:bidi w:val="0"/>
              <w:spacing w:line="360" w:lineRule="atLeast"/>
              <w:rPr>
                <w:rFonts w:hint="default" w:ascii="Times New Roman" w:hAnsi="Times New Roman" w:cs="Times New Roman"/>
                <w:szCs w:val="21"/>
              </w:rPr>
            </w:pPr>
            <w:r>
              <w:rPr>
                <w:rFonts w:hint="default" w:ascii="Times New Roman" w:hAnsi="Times New Roman" w:cs="Times New Roman"/>
                <w:szCs w:val="21"/>
              </w:rPr>
              <w:t>施工组织设计：40.00 分</w:t>
            </w:r>
          </w:p>
          <w:p w14:paraId="3030CA26">
            <w:pPr>
              <w:pageBreakBefore w:val="0"/>
              <w:kinsoku/>
              <w:wordWrap w:val="0"/>
              <w:bidi w:val="0"/>
              <w:spacing w:line="360" w:lineRule="atLeast"/>
              <w:rPr>
                <w:rFonts w:hint="default" w:ascii="Times New Roman" w:hAnsi="Times New Roman" w:cs="Times New Roman"/>
                <w:szCs w:val="21"/>
              </w:rPr>
            </w:pPr>
            <w:r>
              <w:rPr>
                <w:rFonts w:hint="default" w:ascii="Times New Roman" w:hAnsi="Times New Roman" w:cs="Times New Roman"/>
                <w:szCs w:val="21"/>
              </w:rPr>
              <w:t>主要人员：2</w:t>
            </w:r>
            <w:r>
              <w:rPr>
                <w:rFonts w:hint="eastAsia" w:cs="Times New Roman"/>
                <w:szCs w:val="21"/>
                <w:lang w:val="en-US" w:eastAsia="zh-CN"/>
              </w:rPr>
              <w:t>0</w:t>
            </w:r>
            <w:r>
              <w:rPr>
                <w:rFonts w:hint="default" w:ascii="Times New Roman" w:hAnsi="Times New Roman" w:cs="Times New Roman"/>
                <w:szCs w:val="21"/>
              </w:rPr>
              <w:t>.00 分</w:t>
            </w:r>
          </w:p>
          <w:p w14:paraId="48C072E0">
            <w:pPr>
              <w:pageBreakBefore w:val="0"/>
              <w:kinsoku/>
              <w:wordWrap w:val="0"/>
              <w:bidi w:val="0"/>
              <w:spacing w:line="360" w:lineRule="atLeast"/>
              <w:rPr>
                <w:rFonts w:hint="default" w:ascii="Times New Roman" w:hAnsi="Times New Roman" w:cs="Times New Roman"/>
                <w:szCs w:val="21"/>
              </w:rPr>
            </w:pPr>
            <w:r>
              <w:rPr>
                <w:rFonts w:hint="default" w:ascii="Times New Roman" w:hAnsi="Times New Roman" w:cs="Times New Roman"/>
                <w:szCs w:val="21"/>
              </w:rPr>
              <w:t>其他因素：技术能力 ：</w:t>
            </w:r>
            <w:r>
              <w:rPr>
                <w:rFonts w:hint="eastAsia" w:cs="Times New Roman"/>
                <w:szCs w:val="21"/>
                <w:lang w:val="en-US" w:eastAsia="zh-CN"/>
              </w:rPr>
              <w:t>20</w:t>
            </w:r>
            <w:r>
              <w:rPr>
                <w:rFonts w:hint="default" w:ascii="Times New Roman" w:hAnsi="Times New Roman" w:cs="Times New Roman"/>
                <w:szCs w:val="21"/>
              </w:rPr>
              <w:t>.0 分</w:t>
            </w:r>
          </w:p>
          <w:p w14:paraId="156A6693">
            <w:pPr>
              <w:pageBreakBefore w:val="0"/>
              <w:kinsoku/>
              <w:wordWrap w:val="0"/>
              <w:bidi w:val="0"/>
              <w:spacing w:line="360" w:lineRule="atLeast"/>
              <w:rPr>
                <w:rFonts w:hint="default" w:ascii="Times New Roman" w:hAnsi="Times New Roman" w:cs="Times New Roman"/>
                <w:szCs w:val="21"/>
              </w:rPr>
            </w:pPr>
            <w:r>
              <w:rPr>
                <w:rFonts w:hint="default" w:ascii="Times New Roman" w:hAnsi="Times New Roman" w:cs="Times New Roman"/>
                <w:szCs w:val="21"/>
              </w:rPr>
              <w:t>履约信誉 ：20.0 分</w:t>
            </w:r>
          </w:p>
        </w:tc>
      </w:tr>
      <w:tr w14:paraId="3504C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2" w:hRule="atLeast"/>
        </w:trPr>
        <w:tc>
          <w:tcPr>
            <w:tcW w:w="2036" w:type="dxa"/>
            <w:gridSpan w:val="2"/>
            <w:tcBorders>
              <w:top w:val="single" w:color="auto" w:sz="4" w:space="0"/>
              <w:right w:val="single" w:color="auto" w:sz="4" w:space="0"/>
            </w:tcBorders>
            <w:noWrap w:val="0"/>
            <w:vAlign w:val="center"/>
          </w:tcPr>
          <w:p w14:paraId="703CAB5B">
            <w:pPr>
              <w:pageBreakBefore w:val="0"/>
              <w:kinsoku/>
              <w:wordWrap w:val="0"/>
              <w:bidi w:val="0"/>
              <w:spacing w:line="360" w:lineRule="atLeast"/>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2.2.</w:t>
            </w:r>
            <w:r>
              <w:rPr>
                <w:rFonts w:hint="eastAsia" w:cs="Times New Roman"/>
                <w:szCs w:val="21"/>
                <w:lang w:val="en-US" w:eastAsia="zh-CN"/>
              </w:rPr>
              <w:t>3</w:t>
            </w:r>
          </w:p>
        </w:tc>
        <w:tc>
          <w:tcPr>
            <w:tcW w:w="1505" w:type="dxa"/>
            <w:tcBorders>
              <w:top w:val="single" w:color="auto" w:sz="4" w:space="0"/>
              <w:left w:val="single" w:color="auto" w:sz="4" w:space="0"/>
              <w:right w:val="single" w:color="auto" w:sz="4" w:space="0"/>
            </w:tcBorders>
            <w:noWrap w:val="0"/>
            <w:vAlign w:val="center"/>
          </w:tcPr>
          <w:p w14:paraId="30714CBA">
            <w:pPr>
              <w:pageBreakBefore w:val="0"/>
              <w:kinsoku/>
              <w:wordWrap w:val="0"/>
              <w:bidi w:val="0"/>
              <w:spacing w:line="360" w:lineRule="atLeast"/>
              <w:jc w:val="center"/>
              <w:rPr>
                <w:rFonts w:hint="default" w:ascii="Times New Roman" w:hAnsi="Times New Roman" w:cs="Times New Roman"/>
                <w:b w:val="0"/>
                <w:bCs/>
                <w:szCs w:val="21"/>
              </w:rPr>
            </w:pPr>
            <w:r>
              <w:rPr>
                <w:rFonts w:hint="default" w:ascii="Times New Roman" w:hAnsi="Times New Roman" w:cs="Times New Roman"/>
                <w:b w:val="0"/>
                <w:bCs/>
                <w:szCs w:val="21"/>
                <w:lang w:val="en-US" w:eastAsia="zh-CN"/>
              </w:rPr>
              <w:t xml:space="preserve">第二个信封 </w:t>
            </w:r>
          </w:p>
          <w:p w14:paraId="4C4353BF">
            <w:pPr>
              <w:pageBreakBefore w:val="0"/>
              <w:kinsoku/>
              <w:wordWrap w:val="0"/>
              <w:bidi w:val="0"/>
              <w:spacing w:line="360" w:lineRule="atLeast"/>
              <w:jc w:val="center"/>
              <w:rPr>
                <w:rFonts w:hint="default" w:ascii="Times New Roman" w:hAnsi="Times New Roman" w:cs="Times New Roman"/>
                <w:b w:val="0"/>
                <w:bCs/>
                <w:szCs w:val="21"/>
              </w:rPr>
            </w:pPr>
            <w:r>
              <w:rPr>
                <w:rFonts w:hint="default" w:ascii="Times New Roman" w:hAnsi="Times New Roman" w:cs="Times New Roman"/>
                <w:b w:val="0"/>
                <w:bCs/>
                <w:szCs w:val="21"/>
                <w:lang w:val="en-US" w:eastAsia="zh-CN"/>
              </w:rPr>
              <w:t xml:space="preserve">详细评审标 </w:t>
            </w:r>
          </w:p>
          <w:p w14:paraId="71B3DEEC">
            <w:pPr>
              <w:pageBreakBefore w:val="0"/>
              <w:kinsoku/>
              <w:wordWrap w:val="0"/>
              <w:bidi w:val="0"/>
              <w:spacing w:line="360" w:lineRule="atLeast"/>
              <w:jc w:val="center"/>
              <w:rPr>
                <w:rFonts w:hint="default" w:ascii="Times New Roman" w:hAnsi="Times New Roman" w:cs="Times New Roman"/>
                <w:b w:val="0"/>
                <w:bCs/>
                <w:szCs w:val="21"/>
              </w:rPr>
            </w:pPr>
            <w:r>
              <w:rPr>
                <w:rFonts w:hint="default" w:ascii="Times New Roman" w:hAnsi="Times New Roman" w:cs="Times New Roman"/>
                <w:b w:val="0"/>
                <w:bCs/>
                <w:szCs w:val="21"/>
                <w:lang w:val="en-US" w:eastAsia="zh-CN"/>
              </w:rPr>
              <w:t>准</w:t>
            </w:r>
          </w:p>
          <w:p w14:paraId="35A34B08">
            <w:pPr>
              <w:pageBreakBefore w:val="0"/>
              <w:kinsoku/>
              <w:wordWrap w:val="0"/>
              <w:bidi w:val="0"/>
              <w:spacing w:line="360" w:lineRule="atLeast"/>
              <w:jc w:val="center"/>
              <w:rPr>
                <w:rFonts w:hint="default" w:ascii="Times New Roman" w:hAnsi="Times New Roman" w:cs="Times New Roman"/>
                <w:b/>
                <w:szCs w:val="21"/>
              </w:rPr>
            </w:pPr>
          </w:p>
        </w:tc>
        <w:tc>
          <w:tcPr>
            <w:tcW w:w="5099" w:type="dxa"/>
            <w:gridSpan w:val="4"/>
            <w:tcBorders>
              <w:top w:val="single" w:color="auto" w:sz="4" w:space="0"/>
              <w:left w:val="single" w:color="auto" w:sz="4" w:space="0"/>
              <w:bottom w:val="single" w:color="auto" w:sz="4" w:space="0"/>
              <w:right w:val="single" w:color="auto" w:sz="4" w:space="0"/>
            </w:tcBorders>
            <w:noWrap w:val="0"/>
            <w:vAlign w:val="center"/>
          </w:tcPr>
          <w:p w14:paraId="77AB99D6">
            <w:pPr>
              <w:keepNext w:val="0"/>
              <w:keepLines w:val="0"/>
              <w:pageBreakBefore w:val="0"/>
              <w:widowControl/>
              <w:kinsoku/>
              <w:overflowPunct/>
              <w:topLinePunct w:val="0"/>
              <w:autoSpaceDE/>
              <w:autoSpaceDN/>
              <w:bidi w:val="0"/>
              <w:adjustRightInd/>
              <w:snapToGrid/>
              <w:spacing w:line="360" w:lineRule="atLeast"/>
              <w:ind w:firstLine="420" w:firstLineChars="200"/>
              <w:jc w:val="left"/>
              <w:textAlignment w:val="auto"/>
              <w:rPr>
                <w:rFonts w:ascii="Times New Roman" w:hAnsi="Times New Roman" w:eastAsia="宋体" w:cs="Times New Roman"/>
                <w:color w:val="000000"/>
                <w:kern w:val="0"/>
                <w:szCs w:val="21"/>
                <w:lang w:bidi="ar"/>
              </w:rPr>
            </w:pPr>
          </w:p>
          <w:p w14:paraId="4B9BA7E8">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评标价计算公式： </w:t>
            </w:r>
          </w:p>
          <w:p w14:paraId="6C490521">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评标价＝修正后的投标报价－暂估价－暂列金额（不含计日工总 </w:t>
            </w:r>
          </w:p>
          <w:p w14:paraId="0A57D2AA">
            <w:pPr>
              <w:keepNext w:val="0"/>
              <w:keepLines w:val="0"/>
              <w:widowControl/>
              <w:suppressLineNumbers w:val="0"/>
              <w:jc w:val="left"/>
            </w:pPr>
            <w:r>
              <w:rPr>
                <w:rFonts w:hint="eastAsia" w:ascii="宋体" w:hAnsi="宋体" w:eastAsia="宋体" w:cs="宋体"/>
                <w:color w:val="000000"/>
                <w:kern w:val="0"/>
                <w:sz w:val="20"/>
                <w:szCs w:val="20"/>
                <w:lang w:val="en-US" w:eastAsia="zh-CN" w:bidi="ar"/>
              </w:rPr>
              <w:t>额）</w:t>
            </w:r>
            <w:r>
              <w:rPr>
                <w:rFonts w:ascii="Calibri" w:hAnsi="Calibri" w:eastAsia="宋体" w:cs="Calibri"/>
                <w:color w:val="000000"/>
                <w:kern w:val="0"/>
                <w:sz w:val="13"/>
                <w:szCs w:val="13"/>
                <w:lang w:val="en-US" w:eastAsia="zh-CN" w:bidi="ar"/>
              </w:rPr>
              <w:t>①</w:t>
            </w:r>
          </w:p>
          <w:p w14:paraId="4F4CEAE5">
            <w:pPr>
              <w:pageBreakBefore w:val="0"/>
              <w:kinsoku/>
              <w:wordWrap w:val="0"/>
              <w:bidi w:val="0"/>
              <w:spacing w:line="360" w:lineRule="atLeast"/>
              <w:ind w:firstLine="420" w:firstLineChars="200"/>
              <w:rPr>
                <w:rFonts w:hint="default" w:ascii="Times New Roman" w:hAnsi="Times New Roman" w:cs="Times New Roman"/>
                <w:szCs w:val="21"/>
              </w:rPr>
            </w:pPr>
          </w:p>
        </w:tc>
      </w:tr>
      <w:tr w14:paraId="7EF20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2"/>
            <w:tcBorders>
              <w:top w:val="single" w:color="auto" w:sz="4" w:space="0"/>
              <w:bottom w:val="single" w:color="auto" w:sz="4" w:space="0"/>
              <w:right w:val="single" w:color="auto" w:sz="4" w:space="0"/>
            </w:tcBorders>
            <w:noWrap w:val="0"/>
            <w:vAlign w:val="center"/>
          </w:tcPr>
          <w:p w14:paraId="6D8492AB">
            <w:pPr>
              <w:pageBreakBefore w:val="0"/>
              <w:kinsoku/>
              <w:wordWrap w:val="0"/>
              <w:bidi w:val="0"/>
              <w:spacing w:line="360" w:lineRule="atLeast"/>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2.2.</w:t>
            </w:r>
            <w:r>
              <w:rPr>
                <w:rFonts w:hint="eastAsia" w:cs="Times New Roman"/>
                <w:szCs w:val="21"/>
                <w:lang w:val="en-US" w:eastAsia="zh-CN"/>
              </w:rPr>
              <w:t>4</w:t>
            </w:r>
          </w:p>
        </w:tc>
        <w:tc>
          <w:tcPr>
            <w:tcW w:w="1505" w:type="dxa"/>
            <w:tcBorders>
              <w:top w:val="single" w:color="auto" w:sz="4" w:space="0"/>
              <w:left w:val="single" w:color="auto" w:sz="4" w:space="0"/>
              <w:right w:val="single" w:color="auto" w:sz="4" w:space="0"/>
            </w:tcBorders>
            <w:noWrap w:val="0"/>
            <w:vAlign w:val="center"/>
          </w:tcPr>
          <w:p w14:paraId="54CCB6B3">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lang w:val="en-US" w:eastAsia="zh-CN"/>
              </w:rPr>
              <w:t xml:space="preserve">通过第一个 </w:t>
            </w:r>
          </w:p>
          <w:p w14:paraId="51BD8A77">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lang w:val="en-US" w:eastAsia="zh-CN"/>
              </w:rPr>
              <w:t xml:space="preserve">信封详细评 </w:t>
            </w:r>
          </w:p>
          <w:p w14:paraId="4D093788">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lang w:val="en-US" w:eastAsia="zh-CN"/>
              </w:rPr>
              <w:t xml:space="preserve">审的投标人 </w:t>
            </w:r>
          </w:p>
          <w:p w14:paraId="33106618">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lang w:val="en-US" w:eastAsia="zh-CN"/>
              </w:rPr>
              <w:t>数量</w:t>
            </w:r>
          </w:p>
        </w:tc>
        <w:tc>
          <w:tcPr>
            <w:tcW w:w="5099" w:type="dxa"/>
            <w:gridSpan w:val="4"/>
            <w:tcBorders>
              <w:top w:val="single" w:color="auto" w:sz="4" w:space="0"/>
              <w:left w:val="single" w:color="auto" w:sz="4" w:space="0"/>
              <w:right w:val="single" w:color="auto" w:sz="4" w:space="0"/>
            </w:tcBorders>
            <w:noWrap w:val="0"/>
            <w:vAlign w:val="center"/>
          </w:tcPr>
          <w:p w14:paraId="4595C7F2">
            <w:pPr>
              <w:pageBreakBefore w:val="0"/>
              <w:kinsoku/>
              <w:wordWrap w:val="0"/>
              <w:bidi w:val="0"/>
              <w:spacing w:line="360" w:lineRule="atLeast"/>
              <w:rPr>
                <w:rFonts w:hint="default" w:ascii="Times New Roman" w:hAnsi="Times New Roman" w:cs="Times New Roman"/>
                <w:szCs w:val="21"/>
              </w:rPr>
            </w:pPr>
            <w:r>
              <w:rPr>
                <w:rFonts w:hint="default" w:ascii="Times New Roman" w:hAnsi="Times New Roman" w:cs="Times New Roman"/>
                <w:szCs w:val="21"/>
                <w:lang w:val="en-US" w:eastAsia="zh-CN"/>
              </w:rPr>
              <w:t>按照投标人的商务和技术得分由高到低排序，选择前 N 名②通过详细评审</w:t>
            </w:r>
          </w:p>
        </w:tc>
      </w:tr>
      <w:tr w14:paraId="6E0E0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2"/>
            <w:tcBorders>
              <w:top w:val="single" w:color="auto" w:sz="4" w:space="0"/>
              <w:bottom w:val="single" w:color="auto" w:sz="4" w:space="0"/>
              <w:right w:val="single" w:color="auto" w:sz="4" w:space="0"/>
            </w:tcBorders>
            <w:noWrap w:val="0"/>
            <w:vAlign w:val="center"/>
          </w:tcPr>
          <w:p w14:paraId="46BFC513">
            <w:pPr>
              <w:pageBreakBefore w:val="0"/>
              <w:kinsoku/>
              <w:wordWrap w:val="0"/>
              <w:bidi w:val="0"/>
              <w:spacing w:line="360" w:lineRule="atLeast"/>
              <w:jc w:val="center"/>
              <w:rPr>
                <w:rFonts w:hint="default" w:ascii="Times New Roman" w:hAnsi="Times New Roman" w:cs="Times New Roman"/>
                <w:szCs w:val="21"/>
              </w:rPr>
            </w:pPr>
          </w:p>
        </w:tc>
        <w:tc>
          <w:tcPr>
            <w:tcW w:w="1505" w:type="dxa"/>
            <w:tcBorders>
              <w:top w:val="single" w:color="auto" w:sz="4" w:space="0"/>
              <w:left w:val="single" w:color="auto" w:sz="4" w:space="0"/>
              <w:right w:val="single" w:color="auto" w:sz="4" w:space="0"/>
            </w:tcBorders>
            <w:noWrap w:val="0"/>
            <w:vAlign w:val="center"/>
          </w:tcPr>
          <w:p w14:paraId="1BDE10A3">
            <w:pPr>
              <w:pageBreakBefore w:val="0"/>
              <w:kinsoku/>
              <w:wordWrap w:val="0"/>
              <w:bidi w:val="0"/>
              <w:spacing w:line="360" w:lineRule="atLeast"/>
              <w:jc w:val="center"/>
              <w:rPr>
                <w:rFonts w:hint="default" w:ascii="Times New Roman" w:hAnsi="Times New Roman" w:cs="Times New Roman"/>
                <w:szCs w:val="21"/>
                <w:lang w:val="en-US" w:eastAsia="zh-CN"/>
              </w:rPr>
            </w:pPr>
          </w:p>
        </w:tc>
        <w:tc>
          <w:tcPr>
            <w:tcW w:w="5099" w:type="dxa"/>
            <w:gridSpan w:val="4"/>
            <w:tcBorders>
              <w:top w:val="single" w:color="auto" w:sz="4" w:space="0"/>
              <w:left w:val="single" w:color="auto" w:sz="4" w:space="0"/>
              <w:right w:val="single" w:color="auto" w:sz="4" w:space="0"/>
            </w:tcBorders>
            <w:noWrap w:val="0"/>
            <w:vAlign w:val="center"/>
          </w:tcPr>
          <w:p w14:paraId="17145D89">
            <w:pPr>
              <w:pageBreakBefore w:val="0"/>
              <w:kinsoku/>
              <w:wordWrap w:val="0"/>
              <w:bidi w:val="0"/>
              <w:spacing w:line="360" w:lineRule="atLeast"/>
              <w:rPr>
                <w:rFonts w:hint="default" w:ascii="Times New Roman" w:hAnsi="Times New Roman" w:cs="Times New Roman"/>
                <w:szCs w:val="21"/>
                <w:lang w:val="en-US" w:eastAsia="zh-CN"/>
              </w:rPr>
            </w:pPr>
          </w:p>
        </w:tc>
      </w:tr>
      <w:tr w14:paraId="299AE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58" w:type="dxa"/>
            <w:gridSpan w:val="6"/>
            <w:tcBorders>
              <w:top w:val="single" w:color="auto" w:sz="4" w:space="0"/>
              <w:bottom w:val="single" w:color="auto" w:sz="4" w:space="0"/>
              <w:right w:val="single" w:color="auto" w:sz="4" w:space="0"/>
            </w:tcBorders>
            <w:noWrap w:val="0"/>
            <w:vAlign w:val="center"/>
          </w:tcPr>
          <w:p w14:paraId="3793BC92">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lang w:val="en-US" w:eastAsia="zh-CN"/>
              </w:rPr>
              <w:t>评分因素与权重分值</w:t>
            </w:r>
          </w:p>
        </w:tc>
        <w:tc>
          <w:tcPr>
            <w:tcW w:w="1582" w:type="dxa"/>
            <w:vMerge w:val="restart"/>
            <w:tcBorders>
              <w:top w:val="single" w:color="auto" w:sz="4" w:space="0"/>
              <w:left w:val="single" w:color="auto" w:sz="4" w:space="0"/>
              <w:right w:val="single" w:color="auto" w:sz="4" w:space="0"/>
            </w:tcBorders>
            <w:noWrap w:val="0"/>
            <w:vAlign w:val="center"/>
          </w:tcPr>
          <w:p w14:paraId="1ABC91FA">
            <w:pPr>
              <w:pageBreakBefore w:val="0"/>
              <w:kinsoku/>
              <w:wordWrap w:val="0"/>
              <w:bidi w:val="0"/>
              <w:spacing w:line="360" w:lineRule="atLeast"/>
              <w:jc w:val="center"/>
              <w:rPr>
                <w:rFonts w:hint="default" w:ascii="Times New Roman" w:hAnsi="Times New Roman" w:cs="Times New Roman"/>
                <w:szCs w:val="21"/>
                <w:lang w:val="en-US" w:eastAsia="zh-CN"/>
              </w:rPr>
            </w:pPr>
          </w:p>
          <w:p w14:paraId="62A2BA29">
            <w:pPr>
              <w:pageBreakBefore w:val="0"/>
              <w:kinsoku/>
              <w:wordWrap w:val="0"/>
              <w:bidi w:val="0"/>
              <w:spacing w:line="360" w:lineRule="atLeast"/>
              <w:jc w:val="center"/>
              <w:rPr>
                <w:rFonts w:hint="default" w:ascii="Times New Roman" w:hAnsi="Times New Roman" w:cs="Times New Roman"/>
                <w:szCs w:val="21"/>
                <w:lang w:val="en-US" w:eastAsia="zh-CN"/>
              </w:rPr>
            </w:pPr>
            <w:r>
              <w:rPr>
                <w:rFonts w:hint="default" w:ascii="Times New Roman" w:hAnsi="Times New Roman" w:cs="Times New Roman"/>
                <w:b/>
                <w:bCs/>
                <w:szCs w:val="21"/>
                <w:lang w:val="en-US" w:eastAsia="zh-CN"/>
              </w:rPr>
              <w:t>评分标准</w:t>
            </w:r>
          </w:p>
          <w:p w14:paraId="7F30C1DB">
            <w:pPr>
              <w:pageBreakBefore w:val="0"/>
              <w:kinsoku/>
              <w:wordWrap w:val="0"/>
              <w:bidi w:val="0"/>
              <w:spacing w:line="360" w:lineRule="atLeast"/>
              <w:jc w:val="center"/>
              <w:rPr>
                <w:rFonts w:hint="default" w:ascii="Times New Roman" w:hAnsi="Times New Roman" w:cs="Times New Roman"/>
                <w:szCs w:val="21"/>
              </w:rPr>
            </w:pPr>
          </w:p>
        </w:tc>
      </w:tr>
      <w:tr w14:paraId="6F7F9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2"/>
            <w:tcBorders>
              <w:top w:val="single" w:color="auto" w:sz="4" w:space="0"/>
              <w:bottom w:val="single" w:color="auto" w:sz="4" w:space="0"/>
              <w:right w:val="single" w:color="auto" w:sz="4" w:space="0"/>
            </w:tcBorders>
            <w:noWrap w:val="0"/>
            <w:vAlign w:val="center"/>
          </w:tcPr>
          <w:p w14:paraId="722B4FD3">
            <w:pPr>
              <w:pageBreakBefore w:val="0"/>
              <w:kinsoku/>
              <w:wordWrap w:val="0"/>
              <w:bidi w:val="0"/>
              <w:spacing w:line="360" w:lineRule="atLeast"/>
              <w:jc w:val="center"/>
              <w:rPr>
                <w:rFonts w:hint="default" w:ascii="Times New Roman" w:hAnsi="Times New Roman" w:cs="Times New Roman"/>
                <w:b/>
                <w:szCs w:val="21"/>
              </w:rPr>
            </w:pPr>
            <w:r>
              <w:rPr>
                <w:rFonts w:hint="default" w:ascii="Times New Roman" w:hAnsi="Times New Roman" w:cs="Times New Roman"/>
                <w:b/>
                <w:szCs w:val="21"/>
              </w:rPr>
              <w:t>条款号</w:t>
            </w:r>
          </w:p>
        </w:tc>
        <w:tc>
          <w:tcPr>
            <w:tcW w:w="1505" w:type="dxa"/>
            <w:tcBorders>
              <w:top w:val="single" w:color="auto" w:sz="4" w:space="0"/>
              <w:left w:val="single" w:color="auto" w:sz="4" w:space="0"/>
              <w:right w:val="single" w:color="auto" w:sz="4" w:space="0"/>
            </w:tcBorders>
            <w:noWrap w:val="0"/>
            <w:vAlign w:val="center"/>
          </w:tcPr>
          <w:p w14:paraId="0FEF9D55">
            <w:pPr>
              <w:pageBreakBefore w:val="0"/>
              <w:kinsoku/>
              <w:wordWrap w:val="0"/>
              <w:bidi w:val="0"/>
              <w:spacing w:line="360" w:lineRule="atLeast"/>
              <w:jc w:val="center"/>
              <w:rPr>
                <w:rFonts w:hint="default" w:ascii="Times New Roman" w:hAnsi="Times New Roman" w:cs="Times New Roman"/>
                <w:b/>
                <w:szCs w:val="21"/>
              </w:rPr>
            </w:pPr>
            <w:r>
              <w:rPr>
                <w:rFonts w:hint="default" w:ascii="Times New Roman" w:hAnsi="Times New Roman" w:cs="Times New Roman"/>
                <w:b/>
                <w:szCs w:val="21"/>
              </w:rPr>
              <w:t>评分因素</w:t>
            </w:r>
          </w:p>
        </w:tc>
        <w:tc>
          <w:tcPr>
            <w:tcW w:w="1274" w:type="dxa"/>
            <w:tcBorders>
              <w:top w:val="single" w:color="auto" w:sz="4" w:space="0"/>
              <w:left w:val="single" w:color="auto" w:sz="4" w:space="0"/>
              <w:right w:val="single" w:color="auto" w:sz="4" w:space="0"/>
            </w:tcBorders>
            <w:noWrap w:val="0"/>
            <w:vAlign w:val="center"/>
          </w:tcPr>
          <w:p w14:paraId="5D6B3B63">
            <w:pPr>
              <w:pageBreakBefore w:val="0"/>
              <w:kinsoku/>
              <w:wordWrap w:val="0"/>
              <w:bidi w:val="0"/>
              <w:spacing w:line="360" w:lineRule="atLeast"/>
              <w:jc w:val="center"/>
              <w:rPr>
                <w:rFonts w:hint="default" w:ascii="Times New Roman" w:hAnsi="Times New Roman" w:cs="Times New Roman"/>
                <w:b/>
                <w:bCs/>
                <w:szCs w:val="21"/>
              </w:rPr>
            </w:pPr>
            <w:r>
              <w:rPr>
                <w:rFonts w:hint="default" w:ascii="Times New Roman" w:hAnsi="Times New Roman" w:cs="Times New Roman"/>
                <w:b/>
                <w:bCs/>
                <w:szCs w:val="21"/>
                <w:lang w:val="en-US" w:eastAsia="zh-CN"/>
              </w:rPr>
              <w:t xml:space="preserve">评分因素 </w:t>
            </w:r>
          </w:p>
          <w:p w14:paraId="397CD42F">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b/>
                <w:bCs/>
                <w:szCs w:val="21"/>
                <w:lang w:val="en-US" w:eastAsia="zh-CN"/>
              </w:rPr>
              <w:t>重分值</w:t>
            </w:r>
          </w:p>
        </w:tc>
        <w:tc>
          <w:tcPr>
            <w:tcW w:w="1274" w:type="dxa"/>
            <w:tcBorders>
              <w:top w:val="single" w:color="auto" w:sz="4" w:space="0"/>
              <w:left w:val="single" w:color="auto" w:sz="4" w:space="0"/>
              <w:right w:val="single" w:color="auto" w:sz="4" w:space="0"/>
            </w:tcBorders>
            <w:noWrap w:val="0"/>
            <w:vAlign w:val="center"/>
          </w:tcPr>
          <w:p w14:paraId="26C18547">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b/>
                <w:bCs/>
                <w:szCs w:val="21"/>
                <w:lang w:val="en-US" w:eastAsia="zh-CN"/>
              </w:rPr>
              <w:t>各评分因素细分项</w:t>
            </w:r>
          </w:p>
        </w:tc>
        <w:tc>
          <w:tcPr>
            <w:tcW w:w="969" w:type="dxa"/>
            <w:tcBorders>
              <w:top w:val="single" w:color="auto" w:sz="4" w:space="0"/>
              <w:left w:val="single" w:color="auto" w:sz="4" w:space="0"/>
              <w:right w:val="single" w:color="auto" w:sz="4" w:space="0"/>
            </w:tcBorders>
            <w:noWrap w:val="0"/>
            <w:vAlign w:val="center"/>
          </w:tcPr>
          <w:p w14:paraId="1EF75CEF">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b/>
                <w:bCs/>
                <w:szCs w:val="21"/>
                <w:lang w:val="en-US" w:eastAsia="zh-CN"/>
              </w:rPr>
              <w:t>分值</w:t>
            </w:r>
          </w:p>
        </w:tc>
        <w:tc>
          <w:tcPr>
            <w:tcW w:w="1582" w:type="dxa"/>
            <w:vMerge w:val="continue"/>
            <w:tcBorders>
              <w:left w:val="single" w:color="auto" w:sz="4" w:space="0"/>
              <w:bottom w:val="single" w:color="auto" w:sz="4" w:space="0"/>
              <w:right w:val="single" w:color="auto" w:sz="4" w:space="0"/>
            </w:tcBorders>
            <w:noWrap w:val="0"/>
            <w:vAlign w:val="center"/>
          </w:tcPr>
          <w:p w14:paraId="0A015F05">
            <w:pPr>
              <w:pageBreakBefore w:val="0"/>
              <w:kinsoku/>
              <w:wordWrap w:val="0"/>
              <w:bidi w:val="0"/>
              <w:spacing w:line="360" w:lineRule="atLeast"/>
              <w:jc w:val="center"/>
              <w:rPr>
                <w:rFonts w:hint="default" w:ascii="Times New Roman" w:hAnsi="Times New Roman" w:cs="Times New Roman"/>
                <w:szCs w:val="21"/>
              </w:rPr>
            </w:pPr>
          </w:p>
        </w:tc>
      </w:tr>
      <w:tr w14:paraId="73AA9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2"/>
            <w:vMerge w:val="restart"/>
            <w:tcBorders>
              <w:top w:val="single" w:color="auto" w:sz="4" w:space="0"/>
              <w:right w:val="single" w:color="auto" w:sz="4" w:space="0"/>
            </w:tcBorders>
            <w:noWrap w:val="0"/>
            <w:vAlign w:val="center"/>
          </w:tcPr>
          <w:p w14:paraId="2B113C3C">
            <w:pPr>
              <w:pageBreakBefore w:val="0"/>
              <w:kinsoku/>
              <w:wordWrap w:val="0"/>
              <w:bidi w:val="0"/>
              <w:spacing w:line="360" w:lineRule="atLeast"/>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2.2.</w:t>
            </w:r>
            <w:r>
              <w:rPr>
                <w:rFonts w:hint="eastAsia" w:cs="Times New Roman"/>
                <w:b w:val="0"/>
                <w:bCs w:val="0"/>
                <w:szCs w:val="21"/>
                <w:lang w:val="en-US" w:eastAsia="zh-CN"/>
              </w:rPr>
              <w:t>2（1）</w:t>
            </w:r>
          </w:p>
          <w:p w14:paraId="4C637B81">
            <w:pPr>
              <w:pageBreakBefore w:val="0"/>
              <w:kinsoku/>
              <w:wordWrap w:val="0"/>
              <w:bidi w:val="0"/>
              <w:spacing w:line="360" w:lineRule="atLeast"/>
              <w:jc w:val="center"/>
              <w:rPr>
                <w:rFonts w:hint="default" w:ascii="Times New Roman" w:hAnsi="Times New Roman" w:cs="Times New Roman"/>
                <w:b w:val="0"/>
                <w:bCs w:val="0"/>
                <w:szCs w:val="21"/>
              </w:rPr>
            </w:pPr>
          </w:p>
          <w:p w14:paraId="5C96501E">
            <w:pPr>
              <w:pageBreakBefore w:val="0"/>
              <w:kinsoku/>
              <w:wordWrap w:val="0"/>
              <w:bidi w:val="0"/>
              <w:spacing w:line="360" w:lineRule="atLeast"/>
              <w:jc w:val="center"/>
              <w:rPr>
                <w:rFonts w:hint="default" w:ascii="Times New Roman" w:hAnsi="Times New Roman" w:cs="Times New Roman"/>
                <w:b w:val="0"/>
                <w:bCs w:val="0"/>
                <w:szCs w:val="21"/>
              </w:rPr>
            </w:pPr>
          </w:p>
        </w:tc>
        <w:tc>
          <w:tcPr>
            <w:tcW w:w="1505" w:type="dxa"/>
            <w:vMerge w:val="restart"/>
            <w:tcBorders>
              <w:top w:val="single" w:color="auto" w:sz="4" w:space="0"/>
              <w:left w:val="single" w:color="auto" w:sz="4" w:space="0"/>
              <w:right w:val="single" w:color="auto" w:sz="4" w:space="0"/>
            </w:tcBorders>
            <w:noWrap w:val="0"/>
            <w:vAlign w:val="center"/>
          </w:tcPr>
          <w:p w14:paraId="2ECB6B17">
            <w:pPr>
              <w:pageBreakBefore w:val="0"/>
              <w:kinsoku/>
              <w:wordWrap w:val="0"/>
              <w:bidi w:val="0"/>
              <w:spacing w:line="360" w:lineRule="atLeast"/>
              <w:jc w:val="center"/>
              <w:rPr>
                <w:rFonts w:hint="default" w:ascii="Times New Roman" w:hAnsi="Times New Roman" w:cs="Times New Roman"/>
                <w:b w:val="0"/>
                <w:bCs w:val="0"/>
                <w:szCs w:val="21"/>
              </w:rPr>
            </w:pPr>
            <w:r>
              <w:rPr>
                <w:rFonts w:hint="default" w:ascii="Times New Roman" w:hAnsi="Times New Roman" w:cs="Times New Roman"/>
                <w:b w:val="0"/>
                <w:bCs w:val="0"/>
                <w:szCs w:val="21"/>
                <w:lang w:val="en-US" w:eastAsia="zh-CN"/>
              </w:rPr>
              <w:t xml:space="preserve">施工组织设 </w:t>
            </w:r>
          </w:p>
          <w:p w14:paraId="1CEFC4F6">
            <w:pPr>
              <w:pageBreakBefore w:val="0"/>
              <w:kinsoku/>
              <w:wordWrap w:val="0"/>
              <w:bidi w:val="0"/>
              <w:spacing w:line="360" w:lineRule="atLeast"/>
              <w:jc w:val="center"/>
              <w:rPr>
                <w:rFonts w:hint="default" w:ascii="Times New Roman" w:hAnsi="Times New Roman" w:cs="Times New Roman"/>
                <w:b w:val="0"/>
                <w:bCs w:val="0"/>
                <w:szCs w:val="21"/>
              </w:rPr>
            </w:pPr>
            <w:r>
              <w:rPr>
                <w:rFonts w:hint="default" w:ascii="Times New Roman" w:hAnsi="Times New Roman" w:cs="Times New Roman"/>
                <w:b w:val="0"/>
                <w:bCs w:val="0"/>
                <w:szCs w:val="21"/>
                <w:lang w:val="en-US" w:eastAsia="zh-CN"/>
              </w:rPr>
              <w:t>计</w:t>
            </w:r>
          </w:p>
        </w:tc>
        <w:tc>
          <w:tcPr>
            <w:tcW w:w="1274" w:type="dxa"/>
            <w:vMerge w:val="restart"/>
            <w:tcBorders>
              <w:top w:val="single" w:color="auto" w:sz="4" w:space="0"/>
              <w:left w:val="single" w:color="auto" w:sz="4" w:space="0"/>
              <w:right w:val="single" w:color="auto" w:sz="4" w:space="0"/>
            </w:tcBorders>
            <w:noWrap w:val="0"/>
            <w:vAlign w:val="center"/>
          </w:tcPr>
          <w:p w14:paraId="473D61C5">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eastAsia" w:cs="Times New Roman"/>
                <w:b w:val="0"/>
                <w:bCs w:val="0"/>
                <w:szCs w:val="21"/>
                <w:lang w:val="en-US" w:eastAsia="zh-CN"/>
              </w:rPr>
              <w:t>40</w:t>
            </w:r>
          </w:p>
        </w:tc>
        <w:tc>
          <w:tcPr>
            <w:tcW w:w="1274" w:type="dxa"/>
            <w:tcBorders>
              <w:top w:val="single" w:color="auto" w:sz="4" w:space="0"/>
              <w:left w:val="single" w:color="auto" w:sz="4" w:space="0"/>
              <w:right w:val="single" w:color="auto" w:sz="4" w:space="0"/>
            </w:tcBorders>
            <w:noWrap w:val="0"/>
            <w:vAlign w:val="center"/>
          </w:tcPr>
          <w:p w14:paraId="02972018">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施工总体计划</w:t>
            </w:r>
          </w:p>
        </w:tc>
        <w:tc>
          <w:tcPr>
            <w:tcW w:w="969" w:type="dxa"/>
            <w:tcBorders>
              <w:top w:val="single" w:color="auto" w:sz="4" w:space="0"/>
              <w:left w:val="single" w:color="auto" w:sz="4" w:space="0"/>
              <w:right w:val="single" w:color="auto" w:sz="4" w:space="0"/>
            </w:tcBorders>
            <w:noWrap w:val="0"/>
            <w:vAlign w:val="center"/>
          </w:tcPr>
          <w:p w14:paraId="4E6815F1">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eastAsia" w:cs="Times New Roman"/>
                <w:b w:val="0"/>
                <w:bCs w:val="0"/>
                <w:szCs w:val="21"/>
                <w:lang w:val="en-US" w:eastAsia="zh-CN"/>
              </w:rPr>
              <w:t>10分</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7D0C8840">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 xml:space="preserve">施工总体计划 </w:t>
            </w:r>
          </w:p>
          <w:p w14:paraId="20C3735D">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 xml:space="preserve">及质量目标、 </w:t>
            </w:r>
          </w:p>
          <w:p w14:paraId="30A960CD">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 xml:space="preserve">期目标(包括 </w:t>
            </w:r>
          </w:p>
          <w:p w14:paraId="408A6802">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 xml:space="preserve">工期、节点工 </w:t>
            </w:r>
          </w:p>
          <w:p w14:paraId="175DD27F">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 xml:space="preserve">期)、安全目标 </w:t>
            </w:r>
          </w:p>
          <w:p w14:paraId="4B1F6CD1">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 xml:space="preserve">视方案优劣， </w:t>
            </w:r>
          </w:p>
          <w:p w14:paraId="629BFCEB">
            <w:pPr>
              <w:pageBreakBefore w:val="0"/>
              <w:kinsoku/>
              <w:wordWrap w:val="0"/>
              <w:bidi w:val="0"/>
              <w:spacing w:line="360" w:lineRule="atLeast"/>
              <w:jc w:val="center"/>
              <w:rPr>
                <w:rFonts w:hint="default" w:ascii="Times New Roman" w:hAnsi="Times New Roman" w:cs="Times New Roman"/>
                <w:b/>
                <w:bCs/>
                <w:szCs w:val="21"/>
                <w:lang w:val="en-US" w:eastAsia="zh-CN"/>
              </w:rPr>
            </w:pPr>
            <w:r>
              <w:rPr>
                <w:rFonts w:hint="default" w:ascii="Times New Roman" w:hAnsi="Times New Roman" w:cs="Times New Roman"/>
                <w:b w:val="0"/>
                <w:bCs w:val="0"/>
                <w:szCs w:val="21"/>
                <w:lang w:val="en-US" w:eastAsia="zh-CN"/>
              </w:rPr>
              <w:t>9-10 分。</w:t>
            </w:r>
          </w:p>
        </w:tc>
      </w:tr>
      <w:tr w14:paraId="16864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2"/>
            <w:vMerge w:val="continue"/>
            <w:tcBorders>
              <w:right w:val="single" w:color="auto" w:sz="4" w:space="0"/>
            </w:tcBorders>
            <w:noWrap w:val="0"/>
            <w:vAlign w:val="center"/>
          </w:tcPr>
          <w:p w14:paraId="1BC0B795">
            <w:pPr>
              <w:pageBreakBefore w:val="0"/>
              <w:kinsoku/>
              <w:wordWrap w:val="0"/>
              <w:bidi w:val="0"/>
              <w:spacing w:line="360" w:lineRule="atLeast"/>
              <w:jc w:val="center"/>
              <w:rPr>
                <w:rFonts w:hint="default" w:ascii="Times New Roman" w:hAnsi="Times New Roman" w:cs="Times New Roman"/>
                <w:b w:val="0"/>
                <w:bCs w:val="0"/>
                <w:szCs w:val="21"/>
              </w:rPr>
            </w:pPr>
          </w:p>
        </w:tc>
        <w:tc>
          <w:tcPr>
            <w:tcW w:w="1505" w:type="dxa"/>
            <w:vMerge w:val="continue"/>
            <w:tcBorders>
              <w:left w:val="single" w:color="auto" w:sz="4" w:space="0"/>
              <w:right w:val="single" w:color="auto" w:sz="4" w:space="0"/>
            </w:tcBorders>
            <w:noWrap w:val="0"/>
            <w:vAlign w:val="center"/>
          </w:tcPr>
          <w:p w14:paraId="0E81F771">
            <w:pPr>
              <w:pageBreakBefore w:val="0"/>
              <w:kinsoku/>
              <w:wordWrap w:val="0"/>
              <w:bidi w:val="0"/>
              <w:spacing w:line="360" w:lineRule="atLeast"/>
              <w:jc w:val="center"/>
              <w:rPr>
                <w:rFonts w:hint="default" w:ascii="Times New Roman" w:hAnsi="Times New Roman" w:cs="Times New Roman"/>
                <w:b w:val="0"/>
                <w:bCs w:val="0"/>
                <w:szCs w:val="21"/>
              </w:rPr>
            </w:pPr>
          </w:p>
        </w:tc>
        <w:tc>
          <w:tcPr>
            <w:tcW w:w="1274" w:type="dxa"/>
            <w:vMerge w:val="continue"/>
            <w:tcBorders>
              <w:left w:val="single" w:color="auto" w:sz="4" w:space="0"/>
              <w:right w:val="single" w:color="auto" w:sz="4" w:space="0"/>
            </w:tcBorders>
            <w:noWrap w:val="0"/>
            <w:vAlign w:val="center"/>
          </w:tcPr>
          <w:p w14:paraId="41CFFD48">
            <w:pPr>
              <w:pageBreakBefore w:val="0"/>
              <w:kinsoku/>
              <w:wordWrap w:val="0"/>
              <w:bidi w:val="0"/>
              <w:spacing w:line="360" w:lineRule="atLeast"/>
              <w:jc w:val="center"/>
              <w:rPr>
                <w:rFonts w:hint="default" w:ascii="Times New Roman" w:hAnsi="Times New Roman" w:cs="Times New Roman"/>
                <w:b w:val="0"/>
                <w:bCs w:val="0"/>
                <w:szCs w:val="21"/>
                <w:lang w:val="en-US" w:eastAsia="zh-CN"/>
              </w:rPr>
            </w:pPr>
          </w:p>
        </w:tc>
        <w:tc>
          <w:tcPr>
            <w:tcW w:w="1274" w:type="dxa"/>
            <w:tcBorders>
              <w:top w:val="single" w:color="auto" w:sz="4" w:space="0"/>
              <w:left w:val="single" w:color="auto" w:sz="4" w:space="0"/>
              <w:right w:val="single" w:color="auto" w:sz="4" w:space="0"/>
            </w:tcBorders>
            <w:noWrap w:val="0"/>
            <w:vAlign w:val="center"/>
          </w:tcPr>
          <w:p w14:paraId="0CB2EC71">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对项目重点、难点工程的理解及施工方案、工艺流程</w:t>
            </w:r>
          </w:p>
        </w:tc>
        <w:tc>
          <w:tcPr>
            <w:tcW w:w="969" w:type="dxa"/>
            <w:tcBorders>
              <w:top w:val="single" w:color="auto" w:sz="4" w:space="0"/>
              <w:left w:val="single" w:color="auto" w:sz="4" w:space="0"/>
              <w:right w:val="single" w:color="auto" w:sz="4" w:space="0"/>
            </w:tcBorders>
            <w:noWrap w:val="0"/>
            <w:vAlign w:val="center"/>
          </w:tcPr>
          <w:p w14:paraId="65F7D571">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eastAsia" w:cs="Times New Roman"/>
                <w:b w:val="0"/>
                <w:bCs w:val="0"/>
                <w:szCs w:val="21"/>
                <w:lang w:val="en-US" w:eastAsia="zh-CN"/>
              </w:rPr>
              <w:t>10分</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4B8BD028">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 xml:space="preserve">对提出的项 </w:t>
            </w:r>
          </w:p>
          <w:p w14:paraId="2750200F">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 xml:space="preserve">重点、难点方 </w:t>
            </w:r>
          </w:p>
          <w:p w14:paraId="4375FFB0">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 xml:space="preserve">案，视方案优 </w:t>
            </w:r>
          </w:p>
          <w:p w14:paraId="307F0654">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劣，9-10 分。</w:t>
            </w:r>
          </w:p>
          <w:p w14:paraId="19505515">
            <w:pPr>
              <w:pageBreakBefore w:val="0"/>
              <w:kinsoku/>
              <w:wordWrap w:val="0"/>
              <w:bidi w:val="0"/>
              <w:spacing w:line="360" w:lineRule="atLeast"/>
              <w:jc w:val="center"/>
              <w:rPr>
                <w:rFonts w:hint="default" w:ascii="Times New Roman" w:hAnsi="Times New Roman" w:cs="Times New Roman"/>
                <w:b/>
                <w:bCs/>
                <w:szCs w:val="21"/>
                <w:lang w:val="en-US" w:eastAsia="zh-CN"/>
              </w:rPr>
            </w:pPr>
          </w:p>
        </w:tc>
      </w:tr>
      <w:tr w14:paraId="070EA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2"/>
            <w:vMerge w:val="continue"/>
            <w:tcBorders>
              <w:right w:val="single" w:color="auto" w:sz="4" w:space="0"/>
            </w:tcBorders>
            <w:noWrap w:val="0"/>
            <w:vAlign w:val="center"/>
          </w:tcPr>
          <w:p w14:paraId="54E4CE67">
            <w:pPr>
              <w:pageBreakBefore w:val="0"/>
              <w:kinsoku/>
              <w:wordWrap w:val="0"/>
              <w:bidi w:val="0"/>
              <w:spacing w:line="360" w:lineRule="atLeast"/>
              <w:jc w:val="center"/>
              <w:rPr>
                <w:rFonts w:hint="default" w:ascii="Times New Roman" w:hAnsi="Times New Roman" w:cs="Times New Roman"/>
                <w:b w:val="0"/>
                <w:bCs w:val="0"/>
                <w:szCs w:val="21"/>
              </w:rPr>
            </w:pPr>
          </w:p>
        </w:tc>
        <w:tc>
          <w:tcPr>
            <w:tcW w:w="1505" w:type="dxa"/>
            <w:vMerge w:val="continue"/>
            <w:tcBorders>
              <w:left w:val="single" w:color="auto" w:sz="4" w:space="0"/>
              <w:right w:val="single" w:color="auto" w:sz="4" w:space="0"/>
            </w:tcBorders>
            <w:noWrap w:val="0"/>
            <w:vAlign w:val="center"/>
          </w:tcPr>
          <w:p w14:paraId="6D23BB17">
            <w:pPr>
              <w:pageBreakBefore w:val="0"/>
              <w:kinsoku/>
              <w:wordWrap w:val="0"/>
              <w:bidi w:val="0"/>
              <w:spacing w:line="360" w:lineRule="atLeast"/>
              <w:jc w:val="center"/>
              <w:rPr>
                <w:rFonts w:hint="default" w:ascii="Times New Roman" w:hAnsi="Times New Roman" w:cs="Times New Roman"/>
                <w:b w:val="0"/>
                <w:bCs w:val="0"/>
                <w:szCs w:val="21"/>
              </w:rPr>
            </w:pPr>
          </w:p>
        </w:tc>
        <w:tc>
          <w:tcPr>
            <w:tcW w:w="1274" w:type="dxa"/>
            <w:vMerge w:val="continue"/>
            <w:tcBorders>
              <w:left w:val="single" w:color="auto" w:sz="4" w:space="0"/>
              <w:right w:val="single" w:color="auto" w:sz="4" w:space="0"/>
            </w:tcBorders>
            <w:noWrap w:val="0"/>
            <w:vAlign w:val="center"/>
          </w:tcPr>
          <w:p w14:paraId="57982B05">
            <w:pPr>
              <w:pageBreakBefore w:val="0"/>
              <w:kinsoku/>
              <w:wordWrap w:val="0"/>
              <w:bidi w:val="0"/>
              <w:spacing w:line="360" w:lineRule="atLeast"/>
              <w:jc w:val="center"/>
              <w:rPr>
                <w:rFonts w:hint="default" w:ascii="Times New Roman" w:hAnsi="Times New Roman" w:cs="Times New Roman"/>
                <w:b w:val="0"/>
                <w:bCs w:val="0"/>
                <w:szCs w:val="21"/>
                <w:lang w:val="en-US" w:eastAsia="zh-CN"/>
              </w:rPr>
            </w:pPr>
          </w:p>
        </w:tc>
        <w:tc>
          <w:tcPr>
            <w:tcW w:w="1274" w:type="dxa"/>
            <w:tcBorders>
              <w:top w:val="single" w:color="auto" w:sz="4" w:space="0"/>
              <w:left w:val="single" w:color="auto" w:sz="4" w:space="0"/>
              <w:right w:val="single" w:color="auto" w:sz="4" w:space="0"/>
            </w:tcBorders>
            <w:noWrap w:val="0"/>
            <w:vAlign w:val="center"/>
          </w:tcPr>
          <w:p w14:paraId="3E972F5F">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 xml:space="preserve">质量、工期、安全生产、 </w:t>
            </w:r>
          </w:p>
          <w:p w14:paraId="40B2F7BF">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人员安排保证体系和</w:t>
            </w:r>
            <w:r>
              <w:rPr>
                <w:rFonts w:hint="eastAsia" w:cs="Times New Roman"/>
                <w:b w:val="0"/>
                <w:bCs w:val="0"/>
                <w:szCs w:val="21"/>
                <w:lang w:val="en-US" w:eastAsia="zh-CN"/>
              </w:rPr>
              <w:t>措</w:t>
            </w:r>
            <w:r>
              <w:rPr>
                <w:rFonts w:hint="default" w:ascii="Times New Roman" w:hAnsi="Times New Roman" w:cs="Times New Roman"/>
                <w:b w:val="0"/>
                <w:bCs w:val="0"/>
                <w:szCs w:val="21"/>
                <w:lang w:val="en-US" w:eastAsia="zh-CN"/>
              </w:rPr>
              <w:t xml:space="preserve"> 施</w:t>
            </w:r>
          </w:p>
        </w:tc>
        <w:tc>
          <w:tcPr>
            <w:tcW w:w="969" w:type="dxa"/>
            <w:tcBorders>
              <w:top w:val="single" w:color="auto" w:sz="4" w:space="0"/>
              <w:left w:val="single" w:color="auto" w:sz="4" w:space="0"/>
              <w:right w:val="single" w:color="auto" w:sz="4" w:space="0"/>
            </w:tcBorders>
            <w:noWrap w:val="0"/>
            <w:vAlign w:val="center"/>
          </w:tcPr>
          <w:p w14:paraId="0B120FC2">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eastAsia" w:cs="Times New Roman"/>
                <w:b w:val="0"/>
                <w:bCs w:val="0"/>
                <w:szCs w:val="21"/>
                <w:lang w:val="en-US" w:eastAsia="zh-CN"/>
              </w:rPr>
              <w:t>10分</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0128FD11">
            <w:pPr>
              <w:pageBreakBefore w:val="0"/>
              <w:kinsoku/>
              <w:wordWrap w:val="0"/>
              <w:bidi w:val="0"/>
              <w:spacing w:line="360" w:lineRule="atLeast"/>
              <w:jc w:val="center"/>
              <w:rPr>
                <w:rFonts w:hint="default" w:ascii="Times New Roman" w:hAnsi="Times New Roman" w:cs="Times New Roman"/>
                <w:b/>
                <w:bCs/>
                <w:szCs w:val="21"/>
                <w:lang w:val="en-US" w:eastAsia="zh-CN"/>
              </w:rPr>
            </w:pPr>
            <w:r>
              <w:rPr>
                <w:rFonts w:hint="default" w:ascii="Times New Roman" w:hAnsi="Times New Roman" w:cs="Times New Roman"/>
                <w:b w:val="0"/>
                <w:bCs w:val="0"/>
                <w:szCs w:val="21"/>
                <w:lang w:val="en-US" w:eastAsia="zh-CN"/>
              </w:rPr>
              <w:t>质量、工期、安 全管理、人员安 排保证体系和 措施，视方案优 劣，9-10 分。</w:t>
            </w:r>
          </w:p>
        </w:tc>
      </w:tr>
      <w:tr w14:paraId="5D408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2"/>
            <w:vMerge w:val="continue"/>
            <w:tcBorders>
              <w:right w:val="single" w:color="auto" w:sz="4" w:space="0"/>
            </w:tcBorders>
            <w:noWrap w:val="0"/>
            <w:vAlign w:val="center"/>
          </w:tcPr>
          <w:p w14:paraId="2D1CBAA6">
            <w:pPr>
              <w:pageBreakBefore w:val="0"/>
              <w:kinsoku/>
              <w:wordWrap w:val="0"/>
              <w:bidi w:val="0"/>
              <w:spacing w:line="360" w:lineRule="atLeast"/>
              <w:jc w:val="center"/>
              <w:rPr>
                <w:rFonts w:hint="default" w:ascii="Times New Roman" w:hAnsi="Times New Roman" w:cs="Times New Roman"/>
                <w:b w:val="0"/>
                <w:bCs w:val="0"/>
                <w:szCs w:val="21"/>
              </w:rPr>
            </w:pPr>
          </w:p>
        </w:tc>
        <w:tc>
          <w:tcPr>
            <w:tcW w:w="1505" w:type="dxa"/>
            <w:vMerge w:val="continue"/>
            <w:tcBorders>
              <w:left w:val="single" w:color="auto" w:sz="4" w:space="0"/>
              <w:right w:val="single" w:color="auto" w:sz="4" w:space="0"/>
            </w:tcBorders>
            <w:noWrap w:val="0"/>
            <w:vAlign w:val="center"/>
          </w:tcPr>
          <w:p w14:paraId="56D33529">
            <w:pPr>
              <w:pageBreakBefore w:val="0"/>
              <w:kinsoku/>
              <w:wordWrap w:val="0"/>
              <w:bidi w:val="0"/>
              <w:spacing w:line="360" w:lineRule="atLeast"/>
              <w:jc w:val="center"/>
              <w:rPr>
                <w:rFonts w:hint="default" w:ascii="Times New Roman" w:hAnsi="Times New Roman" w:cs="Times New Roman"/>
                <w:b w:val="0"/>
                <w:bCs w:val="0"/>
                <w:szCs w:val="21"/>
              </w:rPr>
            </w:pPr>
          </w:p>
        </w:tc>
        <w:tc>
          <w:tcPr>
            <w:tcW w:w="1274" w:type="dxa"/>
            <w:vMerge w:val="continue"/>
            <w:tcBorders>
              <w:left w:val="single" w:color="auto" w:sz="4" w:space="0"/>
              <w:right w:val="single" w:color="auto" w:sz="4" w:space="0"/>
            </w:tcBorders>
            <w:noWrap w:val="0"/>
            <w:vAlign w:val="center"/>
          </w:tcPr>
          <w:p w14:paraId="12A4DD5B">
            <w:pPr>
              <w:pageBreakBefore w:val="0"/>
              <w:kinsoku/>
              <w:wordWrap w:val="0"/>
              <w:bidi w:val="0"/>
              <w:spacing w:line="360" w:lineRule="atLeast"/>
              <w:jc w:val="center"/>
              <w:rPr>
                <w:rFonts w:hint="default" w:ascii="Times New Roman" w:hAnsi="Times New Roman" w:cs="Times New Roman"/>
                <w:b w:val="0"/>
                <w:bCs w:val="0"/>
                <w:szCs w:val="21"/>
                <w:lang w:val="en-US" w:eastAsia="zh-CN"/>
              </w:rPr>
            </w:pPr>
          </w:p>
        </w:tc>
        <w:tc>
          <w:tcPr>
            <w:tcW w:w="1274" w:type="dxa"/>
            <w:tcBorders>
              <w:top w:val="single" w:color="auto" w:sz="4" w:space="0"/>
              <w:left w:val="single" w:color="auto" w:sz="4" w:space="0"/>
              <w:right w:val="single" w:color="auto" w:sz="4" w:space="0"/>
            </w:tcBorders>
            <w:noWrap w:val="0"/>
            <w:vAlign w:val="center"/>
          </w:tcPr>
          <w:p w14:paraId="5C9C5BCC">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 xml:space="preserve">环境保护、水土保持、 </w:t>
            </w:r>
          </w:p>
          <w:p w14:paraId="254DB2A3">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 xml:space="preserve">施工后期场地恢复、支 </w:t>
            </w:r>
          </w:p>
          <w:p w14:paraId="2EEA7A63">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付保障体系和措施</w:t>
            </w:r>
          </w:p>
        </w:tc>
        <w:tc>
          <w:tcPr>
            <w:tcW w:w="969" w:type="dxa"/>
            <w:tcBorders>
              <w:top w:val="single" w:color="auto" w:sz="4" w:space="0"/>
              <w:left w:val="single" w:color="auto" w:sz="4" w:space="0"/>
              <w:right w:val="single" w:color="auto" w:sz="4" w:space="0"/>
            </w:tcBorders>
            <w:noWrap w:val="0"/>
            <w:vAlign w:val="center"/>
          </w:tcPr>
          <w:p w14:paraId="5FB4057D">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eastAsia" w:cs="Times New Roman"/>
                <w:b w:val="0"/>
                <w:bCs w:val="0"/>
                <w:szCs w:val="21"/>
                <w:lang w:val="en-US" w:eastAsia="zh-CN"/>
              </w:rPr>
              <w:t>5分</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088A355D">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 xml:space="preserve">环境保护、水土 保持、施工后期 场地恢复、支付 </w:t>
            </w:r>
          </w:p>
          <w:p w14:paraId="6125ABA0">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保障体系和措 施，视方案优 劣,4-5 分。</w:t>
            </w:r>
          </w:p>
          <w:p w14:paraId="719B97C0">
            <w:pPr>
              <w:pageBreakBefore w:val="0"/>
              <w:kinsoku/>
              <w:wordWrap w:val="0"/>
              <w:bidi w:val="0"/>
              <w:spacing w:line="360" w:lineRule="atLeast"/>
              <w:jc w:val="center"/>
              <w:rPr>
                <w:rFonts w:hint="default" w:ascii="Times New Roman" w:hAnsi="Times New Roman" w:cs="Times New Roman"/>
                <w:b/>
                <w:bCs/>
                <w:szCs w:val="21"/>
                <w:lang w:val="en-US" w:eastAsia="zh-CN"/>
              </w:rPr>
            </w:pPr>
          </w:p>
        </w:tc>
      </w:tr>
      <w:tr w14:paraId="26CB4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2"/>
            <w:vMerge w:val="continue"/>
            <w:tcBorders>
              <w:bottom w:val="single" w:color="auto" w:sz="4" w:space="0"/>
              <w:right w:val="single" w:color="auto" w:sz="4" w:space="0"/>
            </w:tcBorders>
            <w:noWrap w:val="0"/>
            <w:vAlign w:val="center"/>
          </w:tcPr>
          <w:p w14:paraId="4E33BBF8">
            <w:pPr>
              <w:pageBreakBefore w:val="0"/>
              <w:kinsoku/>
              <w:wordWrap w:val="0"/>
              <w:bidi w:val="0"/>
              <w:spacing w:line="360" w:lineRule="atLeast"/>
              <w:jc w:val="center"/>
              <w:rPr>
                <w:rFonts w:hint="default" w:ascii="Times New Roman" w:hAnsi="Times New Roman" w:cs="Times New Roman"/>
                <w:b w:val="0"/>
                <w:bCs w:val="0"/>
                <w:szCs w:val="21"/>
              </w:rPr>
            </w:pPr>
          </w:p>
        </w:tc>
        <w:tc>
          <w:tcPr>
            <w:tcW w:w="1505" w:type="dxa"/>
            <w:vMerge w:val="continue"/>
            <w:tcBorders>
              <w:left w:val="single" w:color="auto" w:sz="4" w:space="0"/>
              <w:right w:val="single" w:color="auto" w:sz="4" w:space="0"/>
            </w:tcBorders>
            <w:noWrap w:val="0"/>
            <w:vAlign w:val="center"/>
          </w:tcPr>
          <w:p w14:paraId="6761F65E">
            <w:pPr>
              <w:pageBreakBefore w:val="0"/>
              <w:kinsoku/>
              <w:wordWrap w:val="0"/>
              <w:bidi w:val="0"/>
              <w:spacing w:line="360" w:lineRule="atLeast"/>
              <w:jc w:val="center"/>
              <w:rPr>
                <w:rFonts w:hint="default" w:ascii="Times New Roman" w:hAnsi="Times New Roman" w:cs="Times New Roman"/>
                <w:b w:val="0"/>
                <w:bCs w:val="0"/>
                <w:szCs w:val="21"/>
              </w:rPr>
            </w:pPr>
          </w:p>
        </w:tc>
        <w:tc>
          <w:tcPr>
            <w:tcW w:w="1274" w:type="dxa"/>
            <w:vMerge w:val="continue"/>
            <w:tcBorders>
              <w:left w:val="single" w:color="auto" w:sz="4" w:space="0"/>
              <w:right w:val="single" w:color="auto" w:sz="4" w:space="0"/>
            </w:tcBorders>
            <w:noWrap w:val="0"/>
            <w:vAlign w:val="center"/>
          </w:tcPr>
          <w:p w14:paraId="303275C8">
            <w:pPr>
              <w:pageBreakBefore w:val="0"/>
              <w:kinsoku/>
              <w:wordWrap w:val="0"/>
              <w:bidi w:val="0"/>
              <w:spacing w:line="360" w:lineRule="atLeast"/>
              <w:jc w:val="center"/>
              <w:rPr>
                <w:rFonts w:hint="default" w:ascii="Times New Roman" w:hAnsi="Times New Roman" w:cs="Times New Roman"/>
                <w:b w:val="0"/>
                <w:bCs w:val="0"/>
                <w:szCs w:val="21"/>
                <w:lang w:val="en-US" w:eastAsia="zh-CN"/>
              </w:rPr>
            </w:pPr>
          </w:p>
        </w:tc>
        <w:tc>
          <w:tcPr>
            <w:tcW w:w="1274" w:type="dxa"/>
            <w:tcBorders>
              <w:top w:val="single" w:color="auto" w:sz="4" w:space="0"/>
              <w:left w:val="single" w:color="auto" w:sz="4" w:space="0"/>
              <w:right w:val="single" w:color="auto" w:sz="4" w:space="0"/>
            </w:tcBorders>
            <w:noWrap w:val="0"/>
            <w:vAlign w:val="center"/>
          </w:tcPr>
          <w:p w14:paraId="1E02116A">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 xml:space="preserve">施工现场标准化、安全 </w:t>
            </w:r>
          </w:p>
          <w:p w14:paraId="03E1EA08">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生产标准化、信息化建设的保证体系和措施</w:t>
            </w:r>
          </w:p>
        </w:tc>
        <w:tc>
          <w:tcPr>
            <w:tcW w:w="969" w:type="dxa"/>
            <w:tcBorders>
              <w:top w:val="single" w:color="auto" w:sz="4" w:space="0"/>
              <w:left w:val="single" w:color="auto" w:sz="4" w:space="0"/>
              <w:right w:val="single" w:color="auto" w:sz="4" w:space="0"/>
            </w:tcBorders>
            <w:noWrap w:val="0"/>
            <w:vAlign w:val="center"/>
          </w:tcPr>
          <w:p w14:paraId="774F2225">
            <w:pPr>
              <w:pageBreakBefore w:val="0"/>
              <w:kinsoku/>
              <w:wordWrap w:val="0"/>
              <w:bidi w:val="0"/>
              <w:spacing w:line="360" w:lineRule="atLeast"/>
              <w:jc w:val="center"/>
              <w:rPr>
                <w:rFonts w:hint="default" w:cs="Times New Roman"/>
                <w:b w:val="0"/>
                <w:bCs w:val="0"/>
                <w:szCs w:val="21"/>
                <w:lang w:val="en-US" w:eastAsia="zh-CN"/>
              </w:rPr>
            </w:pPr>
            <w:r>
              <w:rPr>
                <w:rFonts w:hint="eastAsia" w:cs="Times New Roman"/>
                <w:b w:val="0"/>
                <w:bCs w:val="0"/>
                <w:szCs w:val="21"/>
                <w:lang w:val="en-US" w:eastAsia="zh-CN"/>
              </w:rPr>
              <w:t>5分</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3F60EED9">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 xml:space="preserve">视方案优劣 </w:t>
            </w:r>
          </w:p>
          <w:p w14:paraId="34D1E802">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4-5 分。</w:t>
            </w:r>
          </w:p>
          <w:p w14:paraId="36264C39">
            <w:pPr>
              <w:pageBreakBefore w:val="0"/>
              <w:kinsoku/>
              <w:wordWrap w:val="0"/>
              <w:bidi w:val="0"/>
              <w:spacing w:line="360" w:lineRule="atLeast"/>
              <w:jc w:val="center"/>
              <w:rPr>
                <w:rFonts w:hint="default" w:ascii="Times New Roman" w:hAnsi="Times New Roman" w:cs="Times New Roman"/>
                <w:b/>
                <w:bCs/>
                <w:szCs w:val="21"/>
                <w:lang w:val="en-US" w:eastAsia="zh-CN"/>
              </w:rPr>
            </w:pPr>
          </w:p>
        </w:tc>
      </w:tr>
      <w:tr w14:paraId="00C21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2"/>
            <w:vMerge w:val="restart"/>
            <w:tcBorders>
              <w:top w:val="single" w:color="auto" w:sz="4" w:space="0"/>
              <w:right w:val="single" w:color="auto" w:sz="4" w:space="0"/>
            </w:tcBorders>
            <w:noWrap w:val="0"/>
            <w:vAlign w:val="center"/>
          </w:tcPr>
          <w:p w14:paraId="3E331D8A">
            <w:pPr>
              <w:pageBreakBefore w:val="0"/>
              <w:kinsoku/>
              <w:wordWrap w:val="0"/>
              <w:bidi w:val="0"/>
              <w:spacing w:line="360" w:lineRule="atLeast"/>
              <w:jc w:val="center"/>
              <w:rPr>
                <w:rFonts w:hint="default" w:ascii="Times New Roman" w:hAnsi="Times New Roman" w:cs="Times New Roman"/>
                <w:b w:val="0"/>
                <w:bCs w:val="0"/>
                <w:szCs w:val="21"/>
              </w:rPr>
            </w:pPr>
            <w:r>
              <w:rPr>
                <w:rFonts w:hint="eastAsia" w:cs="Times New Roman"/>
                <w:szCs w:val="21"/>
                <w:lang w:val="en-US" w:eastAsia="zh-CN"/>
              </w:rPr>
              <w:t>2.2.2（2）</w:t>
            </w:r>
          </w:p>
        </w:tc>
        <w:tc>
          <w:tcPr>
            <w:tcW w:w="1505" w:type="dxa"/>
            <w:vMerge w:val="restart"/>
            <w:tcBorders>
              <w:top w:val="single" w:color="auto" w:sz="4" w:space="0"/>
              <w:left w:val="single" w:color="auto" w:sz="4" w:space="0"/>
              <w:right w:val="single" w:color="auto" w:sz="4" w:space="0"/>
            </w:tcBorders>
            <w:noWrap w:val="0"/>
            <w:vAlign w:val="center"/>
          </w:tcPr>
          <w:p w14:paraId="49635DB9">
            <w:pPr>
              <w:pageBreakBefore w:val="0"/>
              <w:kinsoku/>
              <w:wordWrap w:val="0"/>
              <w:bidi w:val="0"/>
              <w:spacing w:line="360" w:lineRule="atLeast"/>
              <w:jc w:val="center"/>
              <w:rPr>
                <w:rFonts w:hint="default" w:ascii="Times New Roman" w:hAnsi="Times New Roman" w:cs="Times New Roman"/>
                <w:b w:val="0"/>
                <w:bCs w:val="0"/>
                <w:szCs w:val="21"/>
              </w:rPr>
            </w:pPr>
            <w:r>
              <w:rPr>
                <w:rFonts w:hint="eastAsia" w:cs="Times New Roman"/>
                <w:szCs w:val="21"/>
                <w:lang w:val="en-US" w:eastAsia="zh-CN"/>
              </w:rPr>
              <w:t>主要人员</w:t>
            </w:r>
          </w:p>
        </w:tc>
        <w:tc>
          <w:tcPr>
            <w:tcW w:w="1274" w:type="dxa"/>
            <w:vMerge w:val="restart"/>
            <w:tcBorders>
              <w:top w:val="single" w:color="auto" w:sz="4" w:space="0"/>
              <w:left w:val="single" w:color="auto" w:sz="4" w:space="0"/>
              <w:right w:val="single" w:color="auto" w:sz="4" w:space="0"/>
            </w:tcBorders>
            <w:noWrap w:val="0"/>
            <w:vAlign w:val="center"/>
          </w:tcPr>
          <w:p w14:paraId="758AD922">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eastAsia" w:cs="Times New Roman"/>
                <w:b w:val="0"/>
                <w:bCs w:val="0"/>
                <w:szCs w:val="21"/>
                <w:lang w:val="en-US" w:eastAsia="zh-CN"/>
              </w:rPr>
              <w:t>20分</w:t>
            </w:r>
          </w:p>
        </w:tc>
        <w:tc>
          <w:tcPr>
            <w:tcW w:w="1274" w:type="dxa"/>
            <w:tcBorders>
              <w:top w:val="single" w:color="auto" w:sz="4" w:space="0"/>
              <w:left w:val="single" w:color="auto" w:sz="4" w:space="0"/>
              <w:right w:val="single" w:color="auto" w:sz="4" w:space="0"/>
            </w:tcBorders>
            <w:noWrap w:val="0"/>
            <w:vAlign w:val="center"/>
          </w:tcPr>
          <w:p w14:paraId="195CA44B">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项目经理任职资格</w:t>
            </w:r>
          </w:p>
        </w:tc>
        <w:tc>
          <w:tcPr>
            <w:tcW w:w="969" w:type="dxa"/>
            <w:tcBorders>
              <w:top w:val="single" w:color="auto" w:sz="4" w:space="0"/>
              <w:left w:val="single" w:color="auto" w:sz="4" w:space="0"/>
              <w:right w:val="single" w:color="auto" w:sz="4" w:space="0"/>
            </w:tcBorders>
            <w:noWrap w:val="0"/>
            <w:vAlign w:val="center"/>
          </w:tcPr>
          <w:p w14:paraId="3834DD40">
            <w:pPr>
              <w:pageBreakBefore w:val="0"/>
              <w:kinsoku/>
              <w:wordWrap w:val="0"/>
              <w:bidi w:val="0"/>
              <w:spacing w:line="360" w:lineRule="atLeast"/>
              <w:jc w:val="center"/>
              <w:rPr>
                <w:rFonts w:hint="default" w:cs="Times New Roman"/>
                <w:b w:val="0"/>
                <w:bCs w:val="0"/>
                <w:szCs w:val="21"/>
                <w:lang w:val="en-US" w:eastAsia="zh-CN"/>
              </w:rPr>
            </w:pPr>
            <w:r>
              <w:rPr>
                <w:rFonts w:hint="eastAsia" w:cs="Times New Roman"/>
                <w:b w:val="0"/>
                <w:bCs w:val="0"/>
                <w:szCs w:val="21"/>
                <w:lang w:val="en-US" w:eastAsia="zh-CN"/>
              </w:rPr>
              <w:t>10分</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5A4C0771">
            <w:pPr>
              <w:pageBreakBefore w:val="0"/>
              <w:kinsoku/>
              <w:wordWrap w:val="0"/>
              <w:bidi w:val="0"/>
              <w:spacing w:line="360" w:lineRule="atLeast"/>
              <w:jc w:val="center"/>
              <w:rPr>
                <w:rFonts w:hint="default" w:ascii="Times New Roman" w:hAnsi="Times New Roman" w:cs="Times New Roman"/>
                <w:b/>
                <w:bCs/>
                <w:szCs w:val="21"/>
                <w:lang w:val="en-US" w:eastAsia="zh-CN"/>
              </w:rPr>
            </w:pPr>
            <w:r>
              <w:rPr>
                <w:rFonts w:hint="default" w:ascii="Times New Roman" w:hAnsi="Times New Roman" w:cs="Times New Roman"/>
                <w:b w:val="0"/>
                <w:bCs w:val="0"/>
                <w:szCs w:val="21"/>
                <w:lang w:val="en-US" w:eastAsia="zh-CN"/>
              </w:rPr>
              <w:t>满足项目经理 资格要求得 1</w:t>
            </w:r>
            <w:r>
              <w:rPr>
                <w:rFonts w:hint="eastAsia" w:ascii="Times New Roman" w:hAnsi="Times New Roman" w:cs="Times New Roman"/>
                <w:b w:val="0"/>
                <w:bCs w:val="0"/>
                <w:szCs w:val="21"/>
                <w:lang w:val="en-US" w:eastAsia="zh-CN"/>
              </w:rPr>
              <w:t>0</w:t>
            </w:r>
            <w:r>
              <w:rPr>
                <w:rFonts w:hint="default" w:ascii="Times New Roman" w:hAnsi="Times New Roman" w:cs="Times New Roman"/>
                <w:b w:val="0"/>
                <w:bCs w:val="0"/>
                <w:szCs w:val="21"/>
                <w:lang w:val="en-US" w:eastAsia="zh-CN"/>
              </w:rPr>
              <w:t xml:space="preserve"> 分。</w:t>
            </w:r>
          </w:p>
        </w:tc>
      </w:tr>
      <w:tr w14:paraId="6711F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2"/>
            <w:vMerge w:val="continue"/>
            <w:tcBorders>
              <w:bottom w:val="single" w:color="auto" w:sz="4" w:space="0"/>
              <w:right w:val="single" w:color="auto" w:sz="4" w:space="0"/>
            </w:tcBorders>
            <w:noWrap w:val="0"/>
            <w:vAlign w:val="center"/>
          </w:tcPr>
          <w:p w14:paraId="0811898E">
            <w:pPr>
              <w:pageBreakBefore w:val="0"/>
              <w:kinsoku/>
              <w:wordWrap w:val="0"/>
              <w:bidi w:val="0"/>
              <w:spacing w:line="360" w:lineRule="atLeast"/>
              <w:jc w:val="center"/>
              <w:rPr>
                <w:rFonts w:hint="eastAsia" w:cs="Times New Roman"/>
                <w:szCs w:val="21"/>
                <w:lang w:val="en-US" w:eastAsia="zh-CN"/>
              </w:rPr>
            </w:pPr>
          </w:p>
        </w:tc>
        <w:tc>
          <w:tcPr>
            <w:tcW w:w="1505" w:type="dxa"/>
            <w:vMerge w:val="continue"/>
            <w:tcBorders>
              <w:left w:val="single" w:color="auto" w:sz="4" w:space="0"/>
              <w:right w:val="single" w:color="auto" w:sz="4" w:space="0"/>
            </w:tcBorders>
            <w:noWrap w:val="0"/>
            <w:vAlign w:val="center"/>
          </w:tcPr>
          <w:p w14:paraId="503DC4C1">
            <w:pPr>
              <w:pageBreakBefore w:val="0"/>
              <w:kinsoku/>
              <w:wordWrap w:val="0"/>
              <w:bidi w:val="0"/>
              <w:spacing w:line="360" w:lineRule="atLeast"/>
              <w:jc w:val="center"/>
              <w:rPr>
                <w:rFonts w:hint="eastAsia" w:cs="Times New Roman"/>
                <w:szCs w:val="21"/>
                <w:lang w:val="en-US" w:eastAsia="zh-CN"/>
              </w:rPr>
            </w:pPr>
          </w:p>
        </w:tc>
        <w:tc>
          <w:tcPr>
            <w:tcW w:w="1274" w:type="dxa"/>
            <w:vMerge w:val="continue"/>
            <w:tcBorders>
              <w:left w:val="single" w:color="auto" w:sz="4" w:space="0"/>
              <w:right w:val="single" w:color="auto" w:sz="4" w:space="0"/>
            </w:tcBorders>
            <w:noWrap w:val="0"/>
            <w:vAlign w:val="center"/>
          </w:tcPr>
          <w:p w14:paraId="321FF89D">
            <w:pPr>
              <w:pageBreakBefore w:val="0"/>
              <w:kinsoku/>
              <w:wordWrap w:val="0"/>
              <w:bidi w:val="0"/>
              <w:spacing w:line="360" w:lineRule="atLeast"/>
              <w:jc w:val="center"/>
              <w:rPr>
                <w:rFonts w:hint="eastAsia" w:cs="Times New Roman"/>
                <w:b w:val="0"/>
                <w:bCs w:val="0"/>
                <w:szCs w:val="21"/>
                <w:lang w:val="en-US" w:eastAsia="zh-CN"/>
              </w:rPr>
            </w:pPr>
          </w:p>
        </w:tc>
        <w:tc>
          <w:tcPr>
            <w:tcW w:w="1274" w:type="dxa"/>
            <w:tcBorders>
              <w:top w:val="single" w:color="auto" w:sz="4" w:space="0"/>
              <w:left w:val="single" w:color="auto" w:sz="4" w:space="0"/>
              <w:right w:val="single" w:color="auto" w:sz="4" w:space="0"/>
            </w:tcBorders>
            <w:noWrap w:val="0"/>
            <w:vAlign w:val="center"/>
          </w:tcPr>
          <w:p w14:paraId="29DA7273">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项目总工任职资格</w:t>
            </w:r>
          </w:p>
        </w:tc>
        <w:tc>
          <w:tcPr>
            <w:tcW w:w="969" w:type="dxa"/>
            <w:tcBorders>
              <w:top w:val="single" w:color="auto" w:sz="4" w:space="0"/>
              <w:left w:val="single" w:color="auto" w:sz="4" w:space="0"/>
              <w:right w:val="single" w:color="auto" w:sz="4" w:space="0"/>
            </w:tcBorders>
            <w:noWrap w:val="0"/>
            <w:vAlign w:val="center"/>
          </w:tcPr>
          <w:p w14:paraId="17956406">
            <w:pPr>
              <w:pageBreakBefore w:val="0"/>
              <w:kinsoku/>
              <w:wordWrap w:val="0"/>
              <w:bidi w:val="0"/>
              <w:spacing w:line="360" w:lineRule="atLeast"/>
              <w:jc w:val="center"/>
              <w:rPr>
                <w:rFonts w:hint="default" w:cs="Times New Roman"/>
                <w:b w:val="0"/>
                <w:bCs w:val="0"/>
                <w:szCs w:val="21"/>
                <w:lang w:val="en-US" w:eastAsia="zh-CN"/>
              </w:rPr>
            </w:pPr>
            <w:r>
              <w:rPr>
                <w:rFonts w:hint="eastAsia" w:cs="Times New Roman"/>
                <w:b w:val="0"/>
                <w:bCs w:val="0"/>
                <w:szCs w:val="21"/>
                <w:lang w:val="en-US" w:eastAsia="zh-CN"/>
              </w:rPr>
              <w:t>10分</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6BF86E07">
            <w:pPr>
              <w:pageBreakBefore w:val="0"/>
              <w:kinsoku/>
              <w:wordWrap w:val="0"/>
              <w:bidi w:val="0"/>
              <w:spacing w:line="360" w:lineRule="atLeast"/>
              <w:jc w:val="center"/>
              <w:rPr>
                <w:rFonts w:hint="default" w:ascii="Times New Roman" w:hAnsi="Times New Roman" w:cs="Times New Roman"/>
                <w:b/>
                <w:bCs/>
                <w:szCs w:val="21"/>
                <w:lang w:val="en-US" w:eastAsia="zh-CN"/>
              </w:rPr>
            </w:pPr>
            <w:r>
              <w:rPr>
                <w:rFonts w:hint="default" w:ascii="Times New Roman" w:hAnsi="Times New Roman" w:cs="Times New Roman"/>
                <w:b w:val="0"/>
                <w:bCs w:val="0"/>
                <w:szCs w:val="21"/>
                <w:lang w:val="en-US" w:eastAsia="zh-CN"/>
              </w:rPr>
              <w:t>满足项目总工 资格要求得 10 分。</w:t>
            </w:r>
          </w:p>
        </w:tc>
      </w:tr>
      <w:tr w14:paraId="6A91F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2"/>
            <w:vMerge w:val="restart"/>
            <w:tcBorders>
              <w:top w:val="single" w:color="auto" w:sz="4" w:space="0"/>
              <w:right w:val="single" w:color="auto" w:sz="4" w:space="0"/>
            </w:tcBorders>
            <w:noWrap w:val="0"/>
            <w:vAlign w:val="center"/>
          </w:tcPr>
          <w:p w14:paraId="35DBECB5">
            <w:pPr>
              <w:pageBreakBefore w:val="0"/>
              <w:kinsoku/>
              <w:wordWrap w:val="0"/>
              <w:bidi w:val="0"/>
              <w:spacing w:line="360" w:lineRule="atLeast"/>
              <w:jc w:val="center"/>
              <w:rPr>
                <w:rFonts w:hint="default" w:cs="Times New Roman"/>
                <w:szCs w:val="21"/>
                <w:lang w:val="en-US" w:eastAsia="zh-CN"/>
              </w:rPr>
            </w:pPr>
            <w:r>
              <w:rPr>
                <w:rFonts w:hint="eastAsia" w:cs="Times New Roman"/>
                <w:szCs w:val="21"/>
                <w:lang w:val="en-US" w:eastAsia="zh-CN"/>
              </w:rPr>
              <w:t>2.2.2（3）</w:t>
            </w:r>
          </w:p>
        </w:tc>
        <w:tc>
          <w:tcPr>
            <w:tcW w:w="1505" w:type="dxa"/>
            <w:vMerge w:val="restart"/>
            <w:tcBorders>
              <w:top w:val="single" w:color="auto" w:sz="4" w:space="0"/>
              <w:left w:val="single" w:color="auto" w:sz="4" w:space="0"/>
              <w:right w:val="single" w:color="auto" w:sz="4" w:space="0"/>
            </w:tcBorders>
            <w:noWrap w:val="0"/>
            <w:vAlign w:val="center"/>
          </w:tcPr>
          <w:p w14:paraId="3590440D">
            <w:pPr>
              <w:pageBreakBefore w:val="0"/>
              <w:kinsoku/>
              <w:wordWrap w:val="0"/>
              <w:bidi w:val="0"/>
              <w:spacing w:line="360" w:lineRule="atLeast"/>
              <w:jc w:val="center"/>
              <w:rPr>
                <w:rFonts w:hint="default" w:cs="Times New Roman"/>
                <w:szCs w:val="21"/>
                <w:lang w:val="en-US" w:eastAsia="zh-CN"/>
              </w:rPr>
            </w:pPr>
            <w:r>
              <w:rPr>
                <w:rFonts w:hint="eastAsia" w:cs="Times New Roman"/>
                <w:szCs w:val="21"/>
                <w:lang w:val="en-US" w:eastAsia="zh-CN"/>
              </w:rPr>
              <w:t>其他因素</w:t>
            </w:r>
          </w:p>
        </w:tc>
        <w:tc>
          <w:tcPr>
            <w:tcW w:w="1274" w:type="dxa"/>
            <w:tcBorders>
              <w:top w:val="single" w:color="auto" w:sz="4" w:space="0"/>
              <w:left w:val="single" w:color="auto" w:sz="4" w:space="0"/>
              <w:right w:val="single" w:color="auto" w:sz="4" w:space="0"/>
            </w:tcBorders>
            <w:noWrap w:val="0"/>
            <w:vAlign w:val="center"/>
          </w:tcPr>
          <w:p w14:paraId="77C161FC">
            <w:pPr>
              <w:pageBreakBefore w:val="0"/>
              <w:kinsoku/>
              <w:wordWrap w:val="0"/>
              <w:bidi w:val="0"/>
              <w:spacing w:line="360" w:lineRule="atLeast"/>
              <w:jc w:val="center"/>
              <w:rPr>
                <w:rFonts w:hint="default" w:cs="Times New Roman"/>
                <w:b w:val="0"/>
                <w:bCs w:val="0"/>
                <w:szCs w:val="21"/>
                <w:lang w:val="en-US" w:eastAsia="zh-CN"/>
              </w:rPr>
            </w:pPr>
            <w:r>
              <w:rPr>
                <w:rFonts w:hint="eastAsia" w:cs="Times New Roman"/>
                <w:b w:val="0"/>
                <w:bCs w:val="0"/>
                <w:szCs w:val="21"/>
                <w:lang w:val="en-US" w:eastAsia="zh-CN"/>
              </w:rPr>
              <w:t>技术能力</w:t>
            </w:r>
          </w:p>
        </w:tc>
        <w:tc>
          <w:tcPr>
            <w:tcW w:w="1274" w:type="dxa"/>
            <w:tcBorders>
              <w:top w:val="single" w:color="auto" w:sz="4" w:space="0"/>
              <w:left w:val="single" w:color="auto" w:sz="4" w:space="0"/>
              <w:right w:val="single" w:color="auto" w:sz="4" w:space="0"/>
            </w:tcBorders>
            <w:noWrap w:val="0"/>
            <w:vAlign w:val="center"/>
          </w:tcPr>
          <w:p w14:paraId="7188D678">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eastAsia" w:cs="Times New Roman"/>
                <w:b w:val="0"/>
                <w:bCs w:val="0"/>
                <w:szCs w:val="21"/>
                <w:lang w:val="en-US" w:eastAsia="zh-CN"/>
              </w:rPr>
              <w:t>10分</w:t>
            </w:r>
          </w:p>
        </w:tc>
        <w:tc>
          <w:tcPr>
            <w:tcW w:w="2551" w:type="dxa"/>
            <w:gridSpan w:val="2"/>
            <w:tcBorders>
              <w:top w:val="single" w:color="auto" w:sz="4" w:space="0"/>
              <w:left w:val="single" w:color="auto" w:sz="4" w:space="0"/>
              <w:right w:val="single" w:color="auto" w:sz="4" w:space="0"/>
            </w:tcBorders>
            <w:noWrap w:val="0"/>
            <w:vAlign w:val="center"/>
          </w:tcPr>
          <w:p w14:paraId="6B41EA7D">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满足企业资格要求得 1</w:t>
            </w:r>
            <w:r>
              <w:rPr>
                <w:rFonts w:hint="eastAsia" w:ascii="Times New Roman" w:hAnsi="Times New Roman" w:cs="Times New Roman"/>
                <w:b w:val="0"/>
                <w:bCs w:val="0"/>
                <w:szCs w:val="21"/>
                <w:lang w:val="en-US" w:eastAsia="zh-CN"/>
              </w:rPr>
              <w:t>0</w:t>
            </w:r>
            <w:r>
              <w:rPr>
                <w:rFonts w:hint="default" w:ascii="Times New Roman" w:hAnsi="Times New Roman" w:cs="Times New Roman"/>
                <w:b w:val="0"/>
                <w:bCs w:val="0"/>
                <w:szCs w:val="21"/>
                <w:lang w:val="en-US" w:eastAsia="zh-CN"/>
              </w:rPr>
              <w:t xml:space="preserve"> 分。</w:t>
            </w:r>
          </w:p>
        </w:tc>
      </w:tr>
      <w:tr w14:paraId="37060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2"/>
            <w:vMerge w:val="continue"/>
            <w:tcBorders>
              <w:right w:val="single" w:color="auto" w:sz="4" w:space="0"/>
            </w:tcBorders>
            <w:noWrap w:val="0"/>
            <w:vAlign w:val="center"/>
          </w:tcPr>
          <w:p w14:paraId="675AEBC9">
            <w:pPr>
              <w:pageBreakBefore w:val="0"/>
              <w:kinsoku/>
              <w:wordWrap w:val="0"/>
              <w:bidi w:val="0"/>
              <w:spacing w:line="360" w:lineRule="atLeast"/>
              <w:jc w:val="center"/>
              <w:rPr>
                <w:rFonts w:hint="eastAsia" w:cs="Times New Roman"/>
                <w:szCs w:val="21"/>
                <w:lang w:val="en-US" w:eastAsia="zh-CN"/>
              </w:rPr>
            </w:pPr>
          </w:p>
        </w:tc>
        <w:tc>
          <w:tcPr>
            <w:tcW w:w="1505" w:type="dxa"/>
            <w:vMerge w:val="continue"/>
            <w:tcBorders>
              <w:left w:val="single" w:color="auto" w:sz="4" w:space="0"/>
              <w:right w:val="single" w:color="auto" w:sz="4" w:space="0"/>
            </w:tcBorders>
            <w:noWrap w:val="0"/>
            <w:vAlign w:val="center"/>
          </w:tcPr>
          <w:p w14:paraId="2612FBD5">
            <w:pPr>
              <w:pageBreakBefore w:val="0"/>
              <w:kinsoku/>
              <w:wordWrap w:val="0"/>
              <w:bidi w:val="0"/>
              <w:spacing w:line="360" w:lineRule="atLeast"/>
              <w:jc w:val="center"/>
              <w:rPr>
                <w:rFonts w:hint="eastAsia" w:cs="Times New Roman"/>
                <w:szCs w:val="21"/>
                <w:lang w:val="en-US" w:eastAsia="zh-CN"/>
              </w:rPr>
            </w:pPr>
          </w:p>
        </w:tc>
        <w:tc>
          <w:tcPr>
            <w:tcW w:w="1274" w:type="dxa"/>
            <w:tcBorders>
              <w:top w:val="single" w:color="auto" w:sz="4" w:space="0"/>
              <w:left w:val="single" w:color="auto" w:sz="4" w:space="0"/>
              <w:right w:val="single" w:color="auto" w:sz="4" w:space="0"/>
            </w:tcBorders>
            <w:noWrap w:val="0"/>
            <w:vAlign w:val="center"/>
          </w:tcPr>
          <w:p w14:paraId="3047E668">
            <w:pPr>
              <w:pageBreakBefore w:val="0"/>
              <w:kinsoku/>
              <w:wordWrap w:val="0"/>
              <w:bidi w:val="0"/>
              <w:spacing w:line="360" w:lineRule="atLeast"/>
              <w:jc w:val="center"/>
              <w:rPr>
                <w:rFonts w:hint="default" w:cs="Times New Roman"/>
                <w:b w:val="0"/>
                <w:bCs w:val="0"/>
                <w:szCs w:val="21"/>
                <w:lang w:val="en-US" w:eastAsia="zh-CN"/>
              </w:rPr>
            </w:pPr>
            <w:r>
              <w:rPr>
                <w:rFonts w:hint="eastAsia" w:cs="Times New Roman"/>
                <w:b w:val="0"/>
                <w:bCs w:val="0"/>
                <w:szCs w:val="21"/>
                <w:lang w:val="en-US" w:eastAsia="zh-CN"/>
              </w:rPr>
              <w:t>企业业绩</w:t>
            </w:r>
          </w:p>
        </w:tc>
        <w:tc>
          <w:tcPr>
            <w:tcW w:w="1274" w:type="dxa"/>
            <w:tcBorders>
              <w:top w:val="single" w:color="auto" w:sz="4" w:space="0"/>
              <w:left w:val="single" w:color="auto" w:sz="4" w:space="0"/>
              <w:right w:val="single" w:color="auto" w:sz="4" w:space="0"/>
            </w:tcBorders>
            <w:noWrap w:val="0"/>
            <w:vAlign w:val="center"/>
          </w:tcPr>
          <w:p w14:paraId="442B60B6">
            <w:pPr>
              <w:pageBreakBefore w:val="0"/>
              <w:kinsoku/>
              <w:wordWrap w:val="0"/>
              <w:bidi w:val="0"/>
              <w:spacing w:line="360" w:lineRule="atLeast"/>
              <w:jc w:val="center"/>
              <w:rPr>
                <w:rFonts w:hint="default" w:cs="Times New Roman"/>
                <w:b w:val="0"/>
                <w:bCs w:val="0"/>
                <w:szCs w:val="21"/>
                <w:lang w:val="en-US" w:eastAsia="zh-CN"/>
              </w:rPr>
            </w:pPr>
            <w:r>
              <w:rPr>
                <w:rFonts w:hint="eastAsia" w:cs="Times New Roman"/>
                <w:b w:val="0"/>
                <w:bCs w:val="0"/>
                <w:szCs w:val="21"/>
                <w:lang w:val="en-US" w:eastAsia="zh-CN"/>
              </w:rPr>
              <w:t>10分</w:t>
            </w:r>
          </w:p>
        </w:tc>
        <w:tc>
          <w:tcPr>
            <w:tcW w:w="2551" w:type="dxa"/>
            <w:gridSpan w:val="2"/>
            <w:tcBorders>
              <w:top w:val="single" w:color="auto" w:sz="4" w:space="0"/>
              <w:left w:val="single" w:color="auto" w:sz="4" w:space="0"/>
              <w:right w:val="single" w:color="auto" w:sz="4" w:space="0"/>
            </w:tcBorders>
            <w:noWrap w:val="0"/>
            <w:vAlign w:val="center"/>
          </w:tcPr>
          <w:p w14:paraId="76BE128D">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近 5 年（指交工验收时间为 2020 年 4月 1 日至投标文件递交截止日）内，至少独立完成过 1 个合同额不低于 60万元及以上且验收质量为合格及以上等级的类似公路工程（合同内容中须含中桥或中桥以上级别桥梁工程）施工业绩。注：企业业绩应在“辽宁省公共资源交易平台交通工程交易系统主体信息库”中录入并通过审核。</w:t>
            </w:r>
          </w:p>
        </w:tc>
      </w:tr>
      <w:tr w14:paraId="674C7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2"/>
            <w:vMerge w:val="continue"/>
            <w:tcBorders>
              <w:bottom w:val="single" w:color="auto" w:sz="4" w:space="0"/>
              <w:right w:val="single" w:color="auto" w:sz="4" w:space="0"/>
            </w:tcBorders>
            <w:noWrap w:val="0"/>
            <w:vAlign w:val="center"/>
          </w:tcPr>
          <w:p w14:paraId="31EA4CEB">
            <w:pPr>
              <w:pageBreakBefore w:val="0"/>
              <w:kinsoku/>
              <w:wordWrap w:val="0"/>
              <w:bidi w:val="0"/>
              <w:spacing w:line="360" w:lineRule="atLeast"/>
              <w:jc w:val="center"/>
              <w:rPr>
                <w:rFonts w:hint="eastAsia" w:cs="Times New Roman"/>
                <w:szCs w:val="21"/>
                <w:lang w:val="en-US" w:eastAsia="zh-CN"/>
              </w:rPr>
            </w:pPr>
          </w:p>
        </w:tc>
        <w:tc>
          <w:tcPr>
            <w:tcW w:w="1505" w:type="dxa"/>
            <w:vMerge w:val="continue"/>
            <w:tcBorders>
              <w:left w:val="single" w:color="auto" w:sz="4" w:space="0"/>
              <w:right w:val="single" w:color="auto" w:sz="4" w:space="0"/>
            </w:tcBorders>
            <w:noWrap w:val="0"/>
            <w:vAlign w:val="center"/>
          </w:tcPr>
          <w:p w14:paraId="4CAB49E9">
            <w:pPr>
              <w:pageBreakBefore w:val="0"/>
              <w:kinsoku/>
              <w:wordWrap w:val="0"/>
              <w:bidi w:val="0"/>
              <w:spacing w:line="360" w:lineRule="atLeast"/>
              <w:jc w:val="center"/>
              <w:rPr>
                <w:rFonts w:hint="eastAsia" w:cs="Times New Roman"/>
                <w:szCs w:val="21"/>
                <w:lang w:val="en-US" w:eastAsia="zh-CN"/>
              </w:rPr>
            </w:pPr>
          </w:p>
        </w:tc>
        <w:tc>
          <w:tcPr>
            <w:tcW w:w="1274" w:type="dxa"/>
            <w:tcBorders>
              <w:top w:val="single" w:color="auto" w:sz="4" w:space="0"/>
              <w:left w:val="single" w:color="auto" w:sz="4" w:space="0"/>
              <w:right w:val="single" w:color="auto" w:sz="4" w:space="0"/>
            </w:tcBorders>
            <w:noWrap w:val="0"/>
            <w:vAlign w:val="center"/>
          </w:tcPr>
          <w:p w14:paraId="20229188">
            <w:pPr>
              <w:pageBreakBefore w:val="0"/>
              <w:kinsoku/>
              <w:wordWrap w:val="0"/>
              <w:bidi w:val="0"/>
              <w:spacing w:line="360" w:lineRule="atLeast"/>
              <w:jc w:val="center"/>
              <w:rPr>
                <w:rFonts w:hint="default" w:cs="Times New Roman"/>
                <w:b w:val="0"/>
                <w:bCs w:val="0"/>
                <w:szCs w:val="21"/>
                <w:lang w:val="en-US" w:eastAsia="zh-CN"/>
              </w:rPr>
            </w:pPr>
            <w:r>
              <w:rPr>
                <w:rFonts w:hint="eastAsia" w:cs="Times New Roman"/>
                <w:b w:val="0"/>
                <w:bCs w:val="0"/>
                <w:szCs w:val="21"/>
                <w:lang w:val="en-US" w:eastAsia="zh-CN"/>
              </w:rPr>
              <w:t>履约信誉</w:t>
            </w:r>
          </w:p>
        </w:tc>
        <w:tc>
          <w:tcPr>
            <w:tcW w:w="1274" w:type="dxa"/>
            <w:tcBorders>
              <w:top w:val="single" w:color="auto" w:sz="4" w:space="0"/>
              <w:left w:val="single" w:color="auto" w:sz="4" w:space="0"/>
              <w:right w:val="single" w:color="auto" w:sz="4" w:space="0"/>
            </w:tcBorders>
            <w:noWrap w:val="0"/>
            <w:vAlign w:val="center"/>
          </w:tcPr>
          <w:p w14:paraId="5B34029E">
            <w:pPr>
              <w:pageBreakBefore w:val="0"/>
              <w:kinsoku/>
              <w:wordWrap w:val="0"/>
              <w:bidi w:val="0"/>
              <w:spacing w:line="360" w:lineRule="atLeast"/>
              <w:jc w:val="center"/>
              <w:rPr>
                <w:rFonts w:hint="default" w:cs="Times New Roman"/>
                <w:b w:val="0"/>
                <w:bCs w:val="0"/>
                <w:szCs w:val="21"/>
                <w:lang w:val="en-US" w:eastAsia="zh-CN"/>
              </w:rPr>
            </w:pPr>
            <w:r>
              <w:rPr>
                <w:rFonts w:hint="eastAsia" w:cs="Times New Roman"/>
                <w:b w:val="0"/>
                <w:bCs w:val="0"/>
                <w:szCs w:val="21"/>
                <w:lang w:val="en-US" w:eastAsia="zh-CN"/>
              </w:rPr>
              <w:t>20分</w:t>
            </w:r>
          </w:p>
        </w:tc>
        <w:tc>
          <w:tcPr>
            <w:tcW w:w="2551" w:type="dxa"/>
            <w:gridSpan w:val="2"/>
            <w:tcBorders>
              <w:top w:val="single" w:color="auto" w:sz="4" w:space="0"/>
              <w:left w:val="single" w:color="auto" w:sz="4" w:space="0"/>
              <w:right w:val="single" w:color="auto" w:sz="4" w:space="0"/>
            </w:tcBorders>
            <w:noWrap w:val="0"/>
            <w:vAlign w:val="center"/>
          </w:tcPr>
          <w:p w14:paraId="6B6C657A">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上一年度 AA 级信用等级 20 分，A 级信用等级 15分、B 级信用等级 10 分、C 级信用等级 5 分、D 级信用等级 0 分。投标人无 2024 年度公路施工企业信用等级评价结果的，可采用 2023 年度公路施工企业信用等级评价结果(如投标人有 2024 年度公路施工企业信用等级评价结果，却采用 2023 年度公路施工企业信用等级评价结果进行投</w:t>
            </w:r>
          </w:p>
          <w:p w14:paraId="4E84FC8B">
            <w:pPr>
              <w:pageBreakBefore w:val="0"/>
              <w:kinsoku/>
              <w:wordWrap w:val="0"/>
              <w:bidi w:val="0"/>
              <w:spacing w:line="360" w:lineRule="atLeast"/>
              <w:jc w:val="both"/>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 xml:space="preserve">标，该投标人将被认 </w:t>
            </w:r>
          </w:p>
          <w:p w14:paraId="3D0914CA">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 xml:space="preserve">定为恶意规避、虚假承诺骗取中标，所造成的一切 </w:t>
            </w:r>
          </w:p>
          <w:p w14:paraId="2EA68C6E">
            <w:pPr>
              <w:pageBreakBefore w:val="0"/>
              <w:kinsoku/>
              <w:wordWrap w:val="0"/>
              <w:bidi w:val="0"/>
              <w:spacing w:line="360" w:lineRule="atLeast"/>
              <w:jc w:val="center"/>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后果投标人责任自负)</w:t>
            </w:r>
          </w:p>
        </w:tc>
      </w:tr>
      <w:tr w14:paraId="59F0D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2"/>
            <w:tcBorders>
              <w:top w:val="single" w:color="auto" w:sz="4" w:space="0"/>
              <w:bottom w:val="single" w:color="auto" w:sz="4" w:space="0"/>
              <w:right w:val="single" w:color="auto" w:sz="4" w:space="0"/>
            </w:tcBorders>
            <w:noWrap w:val="0"/>
            <w:vAlign w:val="center"/>
          </w:tcPr>
          <w:p w14:paraId="6D197C1F">
            <w:pPr>
              <w:pageBreakBefore w:val="0"/>
              <w:kinsoku/>
              <w:wordWrap w:val="0"/>
              <w:bidi w:val="0"/>
              <w:spacing w:line="360" w:lineRule="atLeast"/>
              <w:jc w:val="center"/>
              <w:rPr>
                <w:rFonts w:hint="default" w:ascii="Times New Roman" w:hAnsi="Times New Roman" w:eastAsia="宋体" w:cs="Times New Roman"/>
                <w:szCs w:val="21"/>
                <w:lang w:val="en-US" w:eastAsia="zh-CN"/>
              </w:rPr>
            </w:pPr>
          </w:p>
        </w:tc>
        <w:tc>
          <w:tcPr>
            <w:tcW w:w="1505" w:type="dxa"/>
            <w:tcBorders>
              <w:top w:val="single" w:color="auto" w:sz="4" w:space="0"/>
              <w:left w:val="single" w:color="auto" w:sz="4" w:space="0"/>
              <w:right w:val="single" w:color="auto" w:sz="4" w:space="0"/>
            </w:tcBorders>
            <w:noWrap w:val="0"/>
            <w:vAlign w:val="center"/>
          </w:tcPr>
          <w:p w14:paraId="1D392E40">
            <w:pPr>
              <w:pageBreakBefore w:val="0"/>
              <w:kinsoku/>
              <w:wordWrap w:val="0"/>
              <w:bidi w:val="0"/>
              <w:spacing w:line="360" w:lineRule="atLeast"/>
              <w:jc w:val="center"/>
              <w:rPr>
                <w:rFonts w:hint="default" w:ascii="Times New Roman" w:hAnsi="Times New Roman" w:eastAsia="宋体" w:cs="Times New Roman"/>
                <w:szCs w:val="21"/>
                <w:lang w:val="en-US" w:eastAsia="zh-CN"/>
              </w:rPr>
            </w:pPr>
          </w:p>
        </w:tc>
        <w:tc>
          <w:tcPr>
            <w:tcW w:w="5099" w:type="dxa"/>
            <w:gridSpan w:val="4"/>
            <w:tcBorders>
              <w:top w:val="single" w:color="auto" w:sz="4" w:space="0"/>
              <w:left w:val="single" w:color="auto" w:sz="4" w:space="0"/>
              <w:right w:val="single" w:color="auto" w:sz="4" w:space="0"/>
            </w:tcBorders>
            <w:noWrap w:val="0"/>
            <w:vAlign w:val="top"/>
          </w:tcPr>
          <w:p w14:paraId="507A644E">
            <w:pPr>
              <w:pageBreakBefore w:val="0"/>
              <w:kinsoku/>
              <w:wordWrap w:val="0"/>
              <w:bidi w:val="0"/>
              <w:spacing w:line="360" w:lineRule="atLeast"/>
              <w:rPr>
                <w:rFonts w:hint="default" w:ascii="Times New Roman" w:hAnsi="Times New Roman" w:cs="Times New Roman"/>
                <w:szCs w:val="21"/>
              </w:rPr>
            </w:pPr>
          </w:p>
        </w:tc>
      </w:tr>
      <w:tr w14:paraId="04B35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40" w:type="dxa"/>
            <w:gridSpan w:val="7"/>
            <w:tcBorders>
              <w:top w:val="single" w:color="auto" w:sz="4" w:space="0"/>
              <w:bottom w:val="single" w:color="auto" w:sz="4" w:space="0"/>
              <w:right w:val="single" w:color="auto" w:sz="4" w:space="0"/>
            </w:tcBorders>
            <w:noWrap w:val="0"/>
            <w:vAlign w:val="center"/>
          </w:tcPr>
          <w:p w14:paraId="104418B9">
            <w:pPr>
              <w:pageBreakBefore w:val="0"/>
              <w:kinsoku/>
              <w:wordWrap w:val="0"/>
              <w:bidi w:val="0"/>
              <w:spacing w:line="360" w:lineRule="atLeast"/>
              <w:rPr>
                <w:rFonts w:hint="eastAsia" w:cs="Times New Roman"/>
                <w:szCs w:val="21"/>
                <w:lang w:val="en-US" w:eastAsia="zh-CN"/>
              </w:rPr>
            </w:pPr>
            <w:r>
              <w:rPr>
                <w:rFonts w:hint="default" w:ascii="Times New Roman" w:hAnsi="Times New Roman" w:cs="Times New Roman"/>
                <w:szCs w:val="21"/>
              </w:rPr>
              <w:t>需要补充的其他内容：</w:t>
            </w:r>
            <w:r>
              <w:rPr>
                <w:rFonts w:hint="eastAsia" w:cs="Times New Roman"/>
                <w:szCs w:val="21"/>
                <w:lang w:val="en-US" w:eastAsia="zh-CN"/>
              </w:rPr>
              <w:t xml:space="preserve"> </w:t>
            </w:r>
          </w:p>
          <w:p w14:paraId="0A4019B3">
            <w:pPr>
              <w:pageBreakBefore w:val="0"/>
              <w:kinsoku/>
              <w:wordWrap w:val="0"/>
              <w:bidi w:val="0"/>
              <w:spacing w:line="360" w:lineRule="atLeast"/>
              <w:rPr>
                <w:rFonts w:hint="eastAsia" w:cs="Times New Roman"/>
                <w:szCs w:val="21"/>
                <w:lang w:val="en-US" w:eastAsia="zh-CN"/>
              </w:rPr>
            </w:pPr>
            <w:r>
              <w:rPr>
                <w:rFonts w:hint="eastAsia" w:cs="Times New Roman"/>
                <w:szCs w:val="21"/>
                <w:lang w:val="en-US" w:eastAsia="zh-CN"/>
              </w:rPr>
              <w:t xml:space="preserve">内的投标人的报价文件进行评审，n 值按参与商务和技术评分投标人数量的 30%(数值向下取整)确定，n 值不得小于 3，不得大于 10。 </w:t>
            </w:r>
          </w:p>
          <w:p w14:paraId="24BA3A51">
            <w:pPr>
              <w:pageBreakBefore w:val="0"/>
              <w:kinsoku/>
              <w:wordWrap w:val="0"/>
              <w:bidi w:val="0"/>
              <w:spacing w:line="360" w:lineRule="atLeast"/>
              <w:rPr>
                <w:rFonts w:hint="eastAsia" w:cs="Times New Roman"/>
                <w:szCs w:val="21"/>
                <w:lang w:val="en-US" w:eastAsia="zh-CN"/>
              </w:rPr>
            </w:pPr>
            <w:r>
              <w:rPr>
                <w:rFonts w:hint="eastAsia" w:cs="Times New Roman"/>
                <w:szCs w:val="21"/>
                <w:lang w:val="en-US" w:eastAsia="zh-CN"/>
              </w:rPr>
              <w:t>投标人需提供有效的辽宁省公路施工企业信用评价等级结果证明，不具备时，按照以下顺序提供相应的证明材料：</w:t>
            </w:r>
          </w:p>
          <w:p w14:paraId="16F400BC">
            <w:pPr>
              <w:pageBreakBefore w:val="0"/>
              <w:kinsoku/>
              <w:wordWrap w:val="0"/>
              <w:bidi w:val="0"/>
              <w:spacing w:line="360" w:lineRule="atLeast"/>
              <w:rPr>
                <w:rFonts w:hint="eastAsia" w:cs="Times New Roman"/>
                <w:szCs w:val="21"/>
                <w:lang w:val="en-US" w:eastAsia="zh-CN"/>
              </w:rPr>
            </w:pPr>
            <w:r>
              <w:rPr>
                <w:rFonts w:hint="eastAsia" w:cs="Times New Roman"/>
                <w:szCs w:val="21"/>
                <w:lang w:val="en-US" w:eastAsia="zh-CN"/>
              </w:rPr>
              <w:t xml:space="preserve">（一）全国综合信用评价等级； </w:t>
            </w:r>
          </w:p>
          <w:p w14:paraId="24B1D8B8">
            <w:pPr>
              <w:pageBreakBefore w:val="0"/>
              <w:kinsoku/>
              <w:wordWrap w:val="0"/>
              <w:bidi w:val="0"/>
              <w:spacing w:line="360" w:lineRule="atLeast"/>
              <w:rPr>
                <w:rFonts w:hint="eastAsia" w:cs="Times New Roman"/>
                <w:szCs w:val="21"/>
                <w:lang w:val="en-US" w:eastAsia="zh-CN"/>
              </w:rPr>
            </w:pPr>
            <w:r>
              <w:rPr>
                <w:rFonts w:hint="eastAsia" w:cs="Times New Roman"/>
                <w:szCs w:val="21"/>
                <w:lang w:val="en-US" w:eastAsia="zh-CN"/>
              </w:rPr>
              <w:t xml:space="preserve">（二）企业注册地省级交通行政主管部门信用评价等级； </w:t>
            </w:r>
          </w:p>
          <w:p w14:paraId="22272467">
            <w:pPr>
              <w:pageBreakBefore w:val="0"/>
              <w:kinsoku/>
              <w:wordWrap w:val="0"/>
              <w:bidi w:val="0"/>
              <w:spacing w:line="360" w:lineRule="atLeast"/>
              <w:rPr>
                <w:rFonts w:hint="eastAsia" w:cs="Times New Roman"/>
                <w:szCs w:val="21"/>
                <w:lang w:val="en-US" w:eastAsia="zh-CN"/>
              </w:rPr>
            </w:pPr>
            <w:r>
              <w:rPr>
                <w:rFonts w:hint="eastAsia" w:cs="Times New Roman"/>
                <w:szCs w:val="21"/>
                <w:lang w:val="en-US" w:eastAsia="zh-CN"/>
              </w:rPr>
              <w:t>（三）无全国综合信用评价等级和注册地省级信用评价等级的，根据“全国公路建设市场信用信息管理系统”查询结果，无不良行为记录的按 A 级认定，有不良行为记录但超过三年（自然年，下同）的按 B 级认定，三年内有不良行为记录的按 C 级认定。</w:t>
            </w:r>
          </w:p>
          <w:p w14:paraId="684B088A">
            <w:pPr>
              <w:pageBreakBefore w:val="0"/>
              <w:kinsoku/>
              <w:wordWrap w:val="0"/>
              <w:bidi w:val="0"/>
              <w:spacing w:line="360" w:lineRule="atLeast"/>
              <w:rPr>
                <w:rFonts w:hint="eastAsia" w:cs="Times New Roman"/>
                <w:szCs w:val="21"/>
                <w:lang w:val="en-US" w:eastAsia="zh-CN"/>
              </w:rPr>
            </w:pPr>
            <w:r>
              <w:rPr>
                <w:rFonts w:hint="eastAsia" w:cs="Times New Roman"/>
                <w:szCs w:val="21"/>
                <w:lang w:val="en-US" w:eastAsia="zh-CN"/>
              </w:rPr>
              <w:t xml:space="preserve">1.评标办法 </w:t>
            </w:r>
          </w:p>
          <w:p w14:paraId="6C08E556">
            <w:pPr>
              <w:pageBreakBefore w:val="0"/>
              <w:kinsoku/>
              <w:wordWrap w:val="0"/>
              <w:bidi w:val="0"/>
              <w:spacing w:line="360" w:lineRule="atLeast"/>
              <w:rPr>
                <w:rFonts w:hint="eastAsia" w:cs="Times New Roman"/>
                <w:szCs w:val="21"/>
                <w:lang w:val="en-US" w:eastAsia="zh-CN"/>
              </w:rPr>
            </w:pPr>
            <w:r>
              <w:rPr>
                <w:rFonts w:hint="eastAsia" w:cs="Times New Roman"/>
                <w:szCs w:val="21"/>
                <w:lang w:val="en-US" w:eastAsia="zh-CN"/>
              </w:rPr>
              <w:t>本条细化为：</w:t>
            </w:r>
          </w:p>
          <w:p w14:paraId="4658929C">
            <w:pPr>
              <w:pageBreakBefore w:val="0"/>
              <w:kinsoku/>
              <w:wordWrap w:val="0"/>
              <w:bidi w:val="0"/>
              <w:spacing w:line="360" w:lineRule="atLeast"/>
              <w:rPr>
                <w:rFonts w:hint="eastAsia" w:cs="Times New Roman"/>
                <w:szCs w:val="21"/>
                <w:lang w:val="en-US" w:eastAsia="zh-CN"/>
              </w:rPr>
            </w:pPr>
            <w:r>
              <w:rPr>
                <w:rFonts w:hint="eastAsia" w:cs="Times New Roman"/>
                <w:szCs w:val="21"/>
                <w:lang w:val="en-US" w:eastAsia="zh-CN"/>
              </w:rPr>
              <w:t xml:space="preserve">采用双信封形式技术评分最低标价法 </w:t>
            </w:r>
          </w:p>
          <w:p w14:paraId="7C561114">
            <w:pPr>
              <w:pageBreakBefore w:val="0"/>
              <w:kinsoku/>
              <w:wordWrap w:val="0"/>
              <w:bidi w:val="0"/>
              <w:spacing w:line="360" w:lineRule="atLeast"/>
              <w:rPr>
                <w:rFonts w:hint="eastAsia" w:cs="Times New Roman"/>
                <w:szCs w:val="21"/>
                <w:lang w:val="en-US" w:eastAsia="zh-CN"/>
              </w:rPr>
            </w:pPr>
            <w:r>
              <w:rPr>
                <w:rFonts w:hint="eastAsia" w:cs="Times New Roman"/>
                <w:szCs w:val="21"/>
                <w:lang w:val="en-US" w:eastAsia="zh-CN"/>
              </w:rPr>
              <w:t xml:space="preserve">1.1 评标委员会首先对投标文件第一信封进行初步评审，然后对通过第一信封初步评审的投标文件按照本章 2.2 款规定的评分标准进行第一信封详细量化评审，所有投标人的第二信封由招标人统一负责保存。 </w:t>
            </w:r>
          </w:p>
          <w:p w14:paraId="08FD18B6">
            <w:pPr>
              <w:pageBreakBefore w:val="0"/>
              <w:kinsoku/>
              <w:wordWrap w:val="0"/>
              <w:bidi w:val="0"/>
              <w:spacing w:line="360" w:lineRule="atLeast"/>
              <w:rPr>
                <w:rFonts w:hint="eastAsia" w:cs="Times New Roman"/>
                <w:szCs w:val="21"/>
                <w:lang w:val="en-US" w:eastAsia="zh-CN"/>
              </w:rPr>
            </w:pPr>
            <w:r>
              <w:rPr>
                <w:rFonts w:hint="eastAsia" w:cs="Times New Roman"/>
                <w:szCs w:val="21"/>
                <w:lang w:val="en-US" w:eastAsia="zh-CN"/>
              </w:rPr>
              <w:t xml:space="preserve">1.2 第一信封评审综合得分排列前 n 名的投标人进入第二信封的评审，其第二信封在监督人的监督下进行开标；其他投标人的第二信封原封退回投标人。 </w:t>
            </w:r>
          </w:p>
          <w:p w14:paraId="4D060FE9">
            <w:pPr>
              <w:pageBreakBefore w:val="0"/>
              <w:kinsoku/>
              <w:wordWrap w:val="0"/>
              <w:bidi w:val="0"/>
              <w:spacing w:line="360" w:lineRule="atLeast"/>
              <w:rPr>
                <w:rFonts w:hint="eastAsia" w:cs="Times New Roman"/>
                <w:szCs w:val="21"/>
                <w:lang w:val="en-US" w:eastAsia="zh-CN"/>
              </w:rPr>
            </w:pPr>
            <w:r>
              <w:rPr>
                <w:rFonts w:hint="eastAsia" w:cs="Times New Roman"/>
                <w:szCs w:val="21"/>
                <w:lang w:val="en-US" w:eastAsia="zh-CN"/>
              </w:rPr>
              <w:t xml:space="preserve">1.3 评标委员会对开启的投标文件第二信封进行初步评审，对通过初步评审的投标人，按评标价由低至高的顺序推荐次序进行排序，但评标价低于其成本的除外。 </w:t>
            </w:r>
          </w:p>
          <w:p w14:paraId="758FBB95">
            <w:pPr>
              <w:pageBreakBefore w:val="0"/>
              <w:kinsoku/>
              <w:wordWrap w:val="0"/>
              <w:bidi w:val="0"/>
              <w:spacing w:line="360" w:lineRule="atLeast"/>
              <w:rPr>
                <w:rFonts w:hint="eastAsia" w:cs="Times New Roman"/>
                <w:szCs w:val="21"/>
                <w:lang w:val="en-US" w:eastAsia="zh-CN"/>
              </w:rPr>
            </w:pPr>
            <w:r>
              <w:rPr>
                <w:rFonts w:hint="eastAsia" w:cs="Times New Roman"/>
                <w:szCs w:val="21"/>
                <w:lang w:val="en-US" w:eastAsia="zh-CN"/>
              </w:rPr>
              <w:t xml:space="preserve">1.4 若出现最低评标价相同时，推荐顺序则依次依据：施工组织设计得分、“投标人 2024 </w:t>
            </w:r>
          </w:p>
          <w:p w14:paraId="656A4945">
            <w:pPr>
              <w:pageBreakBefore w:val="0"/>
              <w:kinsoku/>
              <w:wordWrap w:val="0"/>
              <w:bidi w:val="0"/>
              <w:spacing w:line="360" w:lineRule="atLeast"/>
              <w:rPr>
                <w:rFonts w:hint="eastAsia" w:cs="Times New Roman"/>
                <w:szCs w:val="21"/>
                <w:lang w:val="en-US" w:eastAsia="zh-CN"/>
              </w:rPr>
            </w:pPr>
            <w:r>
              <w:rPr>
                <w:rFonts w:hint="eastAsia" w:cs="Times New Roman"/>
                <w:szCs w:val="21"/>
                <w:lang w:val="en-US" w:eastAsia="zh-CN"/>
              </w:rPr>
              <w:t xml:space="preserve">年（或 2023 年）年末净资产”由高到低的顺序进行确定，若 2024 年（或 2023 年）年末净资产也相等时，则由评标委员会根据施工组织设计的编制情况投票确定其推荐顺序。 </w:t>
            </w:r>
          </w:p>
          <w:p w14:paraId="44883454">
            <w:pPr>
              <w:pageBreakBefore w:val="0"/>
              <w:kinsoku/>
              <w:wordWrap w:val="0"/>
              <w:bidi w:val="0"/>
              <w:spacing w:line="360" w:lineRule="atLeast"/>
              <w:rPr>
                <w:rFonts w:hint="eastAsia" w:cs="Times New Roman"/>
                <w:szCs w:val="21"/>
                <w:lang w:val="en-US" w:eastAsia="zh-CN"/>
              </w:rPr>
            </w:pPr>
            <w:r>
              <w:rPr>
                <w:rFonts w:hint="eastAsia" w:cs="Times New Roman"/>
                <w:szCs w:val="21"/>
                <w:lang w:val="en-US" w:eastAsia="zh-CN"/>
              </w:rPr>
              <w:t xml:space="preserve">1.5 通过第一个信封评审且参与第二个信封开标的投标人在 3 个及以上的，招标人将按规定的程序进行第二个信封开标；在对第二个信封进行评审后，有效投标不足 3 个使得投标明显缺乏竞争的，评标委员会可以否决全部投标。评标委员会未否决全部投标的，应当在评标报告中阐明理由并推荐中标候选人。 </w:t>
            </w:r>
          </w:p>
          <w:p w14:paraId="3AEFF6CC">
            <w:pPr>
              <w:pageBreakBefore w:val="0"/>
              <w:kinsoku/>
              <w:wordWrap w:val="0"/>
              <w:bidi w:val="0"/>
              <w:spacing w:line="360" w:lineRule="atLeast"/>
              <w:rPr>
                <w:rFonts w:hint="eastAsia" w:cs="Times New Roman"/>
                <w:szCs w:val="21"/>
                <w:lang w:val="en-US" w:eastAsia="zh-CN"/>
              </w:rPr>
            </w:pPr>
            <w:r>
              <w:rPr>
                <w:rFonts w:hint="eastAsia" w:cs="Times New Roman"/>
                <w:szCs w:val="21"/>
                <w:lang w:val="en-US" w:eastAsia="zh-CN"/>
              </w:rPr>
              <w:t>通过第一个信封评审且参与第二个信封开标的投标人少于 3 个的，评标委员会可以否决全部投标；未否决全部投标的，评标委员会应当在评标报告中阐明理由，招标人将按规定的程序进行第二个信封开标，但评标委员会在进行第二个信封评审时仍有权否决全部投标；评标委员会未在第二个信封评审时否决全部投标的，应当在评标报告中阐明理由并推荐中标候选人。</w:t>
            </w:r>
          </w:p>
          <w:p w14:paraId="1F644040">
            <w:pPr>
              <w:pageBreakBefore w:val="0"/>
              <w:kinsoku/>
              <w:wordWrap w:val="0"/>
              <w:bidi w:val="0"/>
              <w:spacing w:line="360" w:lineRule="atLeast"/>
              <w:rPr>
                <w:rFonts w:hint="eastAsia" w:cs="Times New Roman"/>
                <w:szCs w:val="21"/>
                <w:lang w:val="en-US" w:eastAsia="zh-CN"/>
              </w:rPr>
            </w:pPr>
          </w:p>
        </w:tc>
      </w:tr>
    </w:tbl>
    <w:p w14:paraId="1FD417D1">
      <w:pPr>
        <w:keepNext w:val="0"/>
        <w:keepLines w:val="0"/>
        <w:widowControl/>
        <w:suppressLineNumbers w:val="0"/>
        <w:jc w:val="left"/>
      </w:pPr>
      <w:r>
        <w:rPr>
          <w:rFonts w:ascii="Calibri" w:hAnsi="Calibri" w:eastAsia="宋体" w:cs="Calibri"/>
          <w:color w:val="000000"/>
          <w:kern w:val="0"/>
          <w:sz w:val="11"/>
          <w:szCs w:val="11"/>
          <w:lang w:val="en-US" w:eastAsia="zh-CN" w:bidi="ar"/>
        </w:rPr>
        <w:t xml:space="preserve">① </w:t>
      </w:r>
    </w:p>
    <w:p w14:paraId="3D60D284">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如本项目招标由投标人按照招标人提供的工程量固化清单电子文件填写工程量清单，无须按照本章第 </w:t>
      </w:r>
      <w:r>
        <w:rPr>
          <w:rFonts w:hint="default" w:ascii="Calibri" w:hAnsi="Calibri" w:eastAsia="宋体" w:cs="Calibri"/>
          <w:color w:val="000000"/>
          <w:kern w:val="0"/>
          <w:sz w:val="18"/>
          <w:szCs w:val="18"/>
          <w:lang w:val="en-US" w:eastAsia="zh-CN" w:bidi="ar"/>
        </w:rPr>
        <w:t xml:space="preserve">3.4.2 </w:t>
      </w:r>
    </w:p>
    <w:p w14:paraId="4FAD6636">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项和第 </w:t>
      </w:r>
      <w:r>
        <w:rPr>
          <w:rFonts w:hint="default" w:ascii="Calibri" w:hAnsi="Calibri" w:eastAsia="宋体" w:cs="Calibri"/>
          <w:color w:val="000000"/>
          <w:kern w:val="0"/>
          <w:sz w:val="18"/>
          <w:szCs w:val="18"/>
          <w:lang w:val="en-US" w:eastAsia="zh-CN" w:bidi="ar"/>
        </w:rPr>
        <w:t xml:space="preserve">3.4.3 </w:t>
      </w:r>
      <w:r>
        <w:rPr>
          <w:rFonts w:hint="eastAsia" w:ascii="宋体" w:hAnsi="宋体" w:eastAsia="宋体" w:cs="宋体"/>
          <w:color w:val="000000"/>
          <w:kern w:val="0"/>
          <w:sz w:val="18"/>
          <w:szCs w:val="18"/>
          <w:lang w:val="en-US" w:eastAsia="zh-CN" w:bidi="ar"/>
        </w:rPr>
        <w:t xml:space="preserve">项的规定对投标报价进行修正，评标价＝投标函文字报价－暂估价－暂列金额（不含计日工总 </w:t>
      </w:r>
    </w:p>
    <w:p w14:paraId="12EF82B3">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额）。 </w:t>
      </w:r>
    </w:p>
    <w:p w14:paraId="7532081C">
      <w:pPr>
        <w:keepNext w:val="0"/>
        <w:keepLines w:val="0"/>
        <w:widowControl/>
        <w:suppressLineNumbers w:val="0"/>
        <w:jc w:val="left"/>
      </w:pPr>
      <w:r>
        <w:rPr>
          <w:rFonts w:hint="default" w:ascii="Calibri" w:hAnsi="Calibri" w:eastAsia="宋体" w:cs="Calibri"/>
          <w:color w:val="000000"/>
          <w:kern w:val="0"/>
          <w:sz w:val="11"/>
          <w:szCs w:val="11"/>
          <w:lang w:val="en-US" w:eastAsia="zh-CN" w:bidi="ar"/>
        </w:rPr>
        <w:t xml:space="preserve">② </w:t>
      </w:r>
      <w:r>
        <w:rPr>
          <w:rFonts w:hint="eastAsia" w:ascii="宋体" w:hAnsi="宋体" w:eastAsia="宋体" w:cs="宋体"/>
          <w:color w:val="000000"/>
          <w:kern w:val="0"/>
          <w:sz w:val="18"/>
          <w:szCs w:val="18"/>
          <w:lang w:val="en-US" w:eastAsia="zh-CN" w:bidi="ar"/>
        </w:rPr>
        <w:t xml:space="preserve">该数量的设置应避免本办法演变为经评审的最低投标价法，该数量应不少于 </w:t>
      </w:r>
      <w:r>
        <w:rPr>
          <w:rFonts w:hint="default" w:ascii="Calibri" w:hAnsi="Calibri" w:eastAsia="宋体" w:cs="Calibri"/>
          <w:color w:val="000000"/>
          <w:kern w:val="0"/>
          <w:sz w:val="18"/>
          <w:szCs w:val="18"/>
          <w:lang w:val="en-US" w:eastAsia="zh-CN" w:bidi="ar"/>
        </w:rPr>
        <w:t xml:space="preserve">3 </w:t>
      </w:r>
      <w:r>
        <w:rPr>
          <w:rFonts w:hint="eastAsia" w:ascii="宋体" w:hAnsi="宋体" w:eastAsia="宋体" w:cs="宋体"/>
          <w:color w:val="000000"/>
          <w:kern w:val="0"/>
          <w:sz w:val="18"/>
          <w:szCs w:val="18"/>
          <w:lang w:val="en-US" w:eastAsia="zh-CN" w:bidi="ar"/>
        </w:rPr>
        <w:t xml:space="preserve">名，最高不宜超过 </w:t>
      </w:r>
      <w:r>
        <w:rPr>
          <w:rFonts w:hint="default" w:ascii="Calibri" w:hAnsi="Calibri" w:eastAsia="宋体" w:cs="Calibri"/>
          <w:color w:val="000000"/>
          <w:kern w:val="0"/>
          <w:sz w:val="18"/>
          <w:szCs w:val="18"/>
          <w:lang w:val="en-US" w:eastAsia="zh-CN" w:bidi="ar"/>
        </w:rPr>
        <w:t xml:space="preserve">10 </w:t>
      </w:r>
      <w:r>
        <w:rPr>
          <w:rFonts w:hint="eastAsia" w:ascii="宋体" w:hAnsi="宋体" w:eastAsia="宋体" w:cs="宋体"/>
          <w:color w:val="000000"/>
          <w:kern w:val="0"/>
          <w:sz w:val="18"/>
          <w:szCs w:val="18"/>
          <w:lang w:val="en-US" w:eastAsia="zh-CN" w:bidi="ar"/>
        </w:rPr>
        <w:t>名。</w:t>
      </w:r>
    </w:p>
    <w:p w14:paraId="1D347FC5">
      <w:pPr>
        <w:pStyle w:val="2"/>
        <w:pageBreakBefore w:val="0"/>
        <w:kinsoku/>
        <w:wordWrap w:val="0"/>
        <w:bidi w:val="0"/>
        <w:spacing w:before="240" w:after="240" w:line="240" w:lineRule="atLeast"/>
        <w:ind w:firstLine="600" w:firstLineChars="300"/>
        <w:rPr>
          <w:rFonts w:hint="default" w:ascii="Times New Roman" w:hAnsi="Times New Roman" w:eastAsia="黑体" w:cs="Times New Roman"/>
          <w:b w:val="0"/>
          <w:sz w:val="28"/>
          <w:szCs w:val="28"/>
        </w:rPr>
      </w:pPr>
      <w:r>
        <w:rPr>
          <w:rFonts w:hint="default" w:ascii="Times New Roman" w:hAnsi="Times New Roman" w:cs="Times New Roman"/>
          <w:sz w:val="20"/>
          <w:szCs w:val="20"/>
        </w:rPr>
        <w:br w:type="page"/>
      </w:r>
      <w:bookmarkStart w:id="4" w:name="_Toc12557"/>
      <w:bookmarkStart w:id="5" w:name="_Toc234832933"/>
      <w:r>
        <w:rPr>
          <w:rFonts w:hint="default" w:ascii="Times New Roman" w:hAnsi="Times New Roman" w:eastAsia="黑体" w:cs="Times New Roman"/>
          <w:b w:val="0"/>
          <w:sz w:val="28"/>
          <w:szCs w:val="28"/>
        </w:rPr>
        <w:t>1. 评标方法</w:t>
      </w:r>
      <w:bookmarkEnd w:id="4"/>
      <w:bookmarkEnd w:id="5"/>
    </w:p>
    <w:p w14:paraId="554BE3AA">
      <w:pPr>
        <w:pageBreakBefore w:val="0"/>
        <w:kinsoku/>
        <w:wordWrap w:val="0"/>
        <w:bidi w:val="0"/>
        <w:spacing w:line="400" w:lineRule="atLeast"/>
        <w:ind w:firstLine="480" w:firstLineChars="200"/>
        <w:rPr>
          <w:rFonts w:hint="eastAsia" w:ascii="Times New Roman" w:hAnsi="Times New Roman" w:cs="Times New Roman"/>
          <w:sz w:val="24"/>
        </w:rPr>
      </w:pPr>
      <w:bookmarkStart w:id="6" w:name="_Toc234832934"/>
      <w:bookmarkStart w:id="7" w:name="_Toc8070"/>
      <w:r>
        <w:rPr>
          <w:rFonts w:hint="eastAsia" w:ascii="Times New Roman" w:hAnsi="Times New Roman" w:cs="Times New Roman"/>
          <w:sz w:val="24"/>
          <w:lang w:val="en-US" w:eastAsia="zh-CN"/>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14:paraId="42B05B95">
      <w:pPr>
        <w:pStyle w:val="2"/>
        <w:pageBreakBefore w:val="0"/>
        <w:kinsoku/>
        <w:wordWrap w:val="0"/>
        <w:bidi w:val="0"/>
        <w:spacing w:before="360" w:after="240" w:line="240" w:lineRule="atLeast"/>
        <w:rPr>
          <w:rFonts w:hint="default" w:ascii="Times New Roman" w:hAnsi="Times New Roman" w:eastAsia="黑体" w:cs="Times New Roman"/>
          <w:b w:val="0"/>
          <w:sz w:val="28"/>
          <w:szCs w:val="28"/>
        </w:rPr>
      </w:pPr>
      <w:r>
        <w:rPr>
          <w:rFonts w:hint="default" w:ascii="Times New Roman" w:hAnsi="Times New Roman" w:eastAsia="黑体" w:cs="Times New Roman"/>
          <w:b w:val="0"/>
          <w:sz w:val="28"/>
          <w:szCs w:val="28"/>
        </w:rPr>
        <w:t>2. 评审标准</w:t>
      </w:r>
      <w:bookmarkEnd w:id="6"/>
      <w:bookmarkEnd w:id="7"/>
    </w:p>
    <w:p w14:paraId="2B4483DF">
      <w:pPr>
        <w:pStyle w:val="2"/>
        <w:pageBreakBefore w:val="0"/>
        <w:kinsoku/>
        <w:wordWrap w:val="0"/>
        <w:bidi w:val="0"/>
        <w:spacing w:before="240" w:after="240" w:line="240" w:lineRule="atLeast"/>
        <w:rPr>
          <w:rFonts w:hint="default" w:ascii="Times New Roman" w:hAnsi="Times New Roman" w:eastAsia="黑体" w:cs="Times New Roman"/>
          <w:b w:val="0"/>
          <w:sz w:val="24"/>
          <w:szCs w:val="24"/>
        </w:rPr>
      </w:pPr>
      <w:bookmarkStart w:id="8" w:name="_Toc234832935"/>
      <w:bookmarkStart w:id="9" w:name="_Toc23903"/>
      <w:r>
        <w:rPr>
          <w:rFonts w:hint="default" w:ascii="Times New Roman" w:hAnsi="Times New Roman" w:eastAsia="黑体" w:cs="Times New Roman"/>
          <w:b w:val="0"/>
          <w:sz w:val="24"/>
          <w:szCs w:val="24"/>
        </w:rPr>
        <w:t>2.1 初步评审标准</w:t>
      </w:r>
      <w:bookmarkEnd w:id="8"/>
      <w:bookmarkEnd w:id="9"/>
    </w:p>
    <w:p w14:paraId="54D7408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2.1.1 形式评审标准：见评标办法前附表。</w:t>
      </w:r>
    </w:p>
    <w:p w14:paraId="3E9EA96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2.1.2 资格评审标准：见评标办法前附表。</w:t>
      </w:r>
    </w:p>
    <w:p w14:paraId="7C38EEB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2.1.3 响应性评审标准：见评标办法前附表。</w:t>
      </w:r>
    </w:p>
    <w:p w14:paraId="78934B80">
      <w:pPr>
        <w:pStyle w:val="2"/>
        <w:pageBreakBefore w:val="0"/>
        <w:kinsoku/>
        <w:wordWrap w:val="0"/>
        <w:bidi w:val="0"/>
        <w:spacing w:before="240" w:after="240" w:line="240" w:lineRule="atLeast"/>
        <w:rPr>
          <w:rFonts w:hint="default" w:ascii="Times New Roman" w:hAnsi="Times New Roman" w:eastAsia="黑体" w:cs="Times New Roman"/>
          <w:b w:val="0"/>
          <w:sz w:val="24"/>
          <w:szCs w:val="24"/>
        </w:rPr>
      </w:pPr>
      <w:bookmarkStart w:id="10" w:name="_Toc24185"/>
      <w:bookmarkStart w:id="11" w:name="_Toc234832936"/>
      <w:r>
        <w:rPr>
          <w:rFonts w:hint="default" w:ascii="Times New Roman" w:hAnsi="Times New Roman" w:eastAsia="黑体" w:cs="Times New Roman"/>
          <w:b w:val="0"/>
          <w:sz w:val="24"/>
          <w:szCs w:val="24"/>
        </w:rPr>
        <w:t>2.2 分值构成与评分标准</w:t>
      </w:r>
      <w:bookmarkEnd w:id="10"/>
      <w:bookmarkEnd w:id="11"/>
    </w:p>
    <w:p w14:paraId="6E5F0098">
      <w:pPr>
        <w:pageBreakBefore w:val="0"/>
        <w:kinsoku/>
        <w:wordWrap w:val="0"/>
        <w:bidi w:val="0"/>
        <w:spacing w:line="400" w:lineRule="atLeast"/>
        <w:ind w:firstLine="480" w:firstLineChars="200"/>
        <w:rPr>
          <w:rFonts w:hint="eastAsia" w:ascii="Times New Roman" w:hAnsi="Times New Roman" w:cs="Times New Roman"/>
          <w:sz w:val="24"/>
          <w:lang w:val="en-US" w:eastAsia="zh-CN"/>
        </w:rPr>
      </w:pPr>
      <w:bookmarkStart w:id="12" w:name="_Toc234832937"/>
      <w:bookmarkStart w:id="13" w:name="_Toc26597"/>
      <w:r>
        <w:rPr>
          <w:rFonts w:hint="eastAsia" w:ascii="Times New Roman" w:hAnsi="Times New Roman" w:cs="Times New Roman"/>
          <w:sz w:val="24"/>
          <w:lang w:val="en-US" w:eastAsia="zh-CN"/>
        </w:rPr>
        <w:t xml:space="preserve">2.2.1 第一个信封评分分值构成 </w:t>
      </w:r>
    </w:p>
    <w:p w14:paraId="333399D0">
      <w:pPr>
        <w:pageBreakBefore w:val="0"/>
        <w:kinsoku/>
        <w:wordWrap w:val="0"/>
        <w:bidi w:val="0"/>
        <w:spacing w:line="400" w:lineRule="atLeast"/>
        <w:ind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1</w:t>
      </w:r>
      <w:r>
        <w:rPr>
          <w:rFonts w:hint="eastAsia" w:ascii="Times New Roman" w:hAnsi="Times New Roman" w:cs="Times New Roman"/>
          <w:sz w:val="24"/>
          <w:lang w:val="en-US" w:eastAsia="zh-CN"/>
        </w:rPr>
        <w:t xml:space="preserve">）施工组织设计：见评标办法前附表； </w:t>
      </w:r>
    </w:p>
    <w:p w14:paraId="01227705">
      <w:pPr>
        <w:pageBreakBefore w:val="0"/>
        <w:kinsoku/>
        <w:wordWrap w:val="0"/>
        <w:bidi w:val="0"/>
        <w:spacing w:line="400" w:lineRule="atLeast"/>
        <w:ind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2</w:t>
      </w:r>
      <w:r>
        <w:rPr>
          <w:rFonts w:hint="eastAsia" w:ascii="Times New Roman" w:hAnsi="Times New Roman" w:cs="Times New Roman"/>
          <w:sz w:val="24"/>
          <w:lang w:val="en-US" w:eastAsia="zh-CN"/>
        </w:rPr>
        <w:t xml:space="preserve">）主要人员：见评标办法前附表； </w:t>
      </w:r>
    </w:p>
    <w:p w14:paraId="111FADC9">
      <w:pPr>
        <w:pageBreakBefore w:val="0"/>
        <w:kinsoku/>
        <w:wordWrap w:val="0"/>
        <w:bidi w:val="0"/>
        <w:spacing w:line="400" w:lineRule="atLeast"/>
        <w:ind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3</w:t>
      </w:r>
      <w:r>
        <w:rPr>
          <w:rFonts w:hint="eastAsia" w:ascii="Times New Roman" w:hAnsi="Times New Roman" w:cs="Times New Roman"/>
          <w:sz w:val="24"/>
          <w:lang w:val="en-US" w:eastAsia="zh-CN"/>
        </w:rPr>
        <w:t xml:space="preserve">）其他评分因素：见评标办法前附表。 </w:t>
      </w:r>
    </w:p>
    <w:p w14:paraId="7AB8AC41">
      <w:pPr>
        <w:pageBreakBefore w:val="0"/>
        <w:kinsoku/>
        <w:wordWrap w:val="0"/>
        <w:bidi w:val="0"/>
        <w:spacing w:line="400" w:lineRule="atLeast"/>
        <w:ind w:firstLine="480" w:firstLineChars="200"/>
        <w:rPr>
          <w:rFonts w:hint="eastAsia" w:ascii="Times New Roman" w:hAnsi="Times New Roman" w:cs="Times New Roman"/>
          <w:sz w:val="24"/>
          <w:lang w:val="en-US" w:eastAsia="zh-CN"/>
        </w:rPr>
      </w:pPr>
      <w:r>
        <w:rPr>
          <w:rFonts w:hint="default" w:ascii="Times New Roman" w:hAnsi="Times New Roman" w:cs="Times New Roman"/>
          <w:sz w:val="24"/>
          <w:lang w:val="en-US" w:eastAsia="zh-CN"/>
        </w:rPr>
        <w:t xml:space="preserve">2.2.2 </w:t>
      </w:r>
      <w:r>
        <w:rPr>
          <w:rFonts w:hint="eastAsia" w:ascii="Times New Roman" w:hAnsi="Times New Roman" w:cs="Times New Roman"/>
          <w:sz w:val="24"/>
          <w:lang w:val="en-US" w:eastAsia="zh-CN"/>
        </w:rPr>
        <w:t xml:space="preserve">第一个信封评分评分标准 </w:t>
      </w:r>
    </w:p>
    <w:p w14:paraId="58EAC95E">
      <w:pPr>
        <w:pageBreakBefore w:val="0"/>
        <w:kinsoku/>
        <w:wordWrap w:val="0"/>
        <w:bidi w:val="0"/>
        <w:spacing w:line="400" w:lineRule="atLeast"/>
        <w:ind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1</w:t>
      </w:r>
      <w:r>
        <w:rPr>
          <w:rFonts w:hint="eastAsia" w:ascii="Times New Roman" w:hAnsi="Times New Roman" w:cs="Times New Roman"/>
          <w:sz w:val="24"/>
          <w:lang w:val="en-US" w:eastAsia="zh-CN"/>
        </w:rPr>
        <w:t xml:space="preserve">）施工组织设计评分标准：见评标办法前附表； </w:t>
      </w:r>
    </w:p>
    <w:p w14:paraId="51FF5816">
      <w:pPr>
        <w:pageBreakBefore w:val="0"/>
        <w:kinsoku/>
        <w:wordWrap w:val="0"/>
        <w:bidi w:val="0"/>
        <w:spacing w:line="400" w:lineRule="atLeast"/>
        <w:ind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2</w:t>
      </w:r>
      <w:r>
        <w:rPr>
          <w:rFonts w:hint="eastAsia" w:ascii="Times New Roman" w:hAnsi="Times New Roman" w:cs="Times New Roman"/>
          <w:sz w:val="24"/>
          <w:lang w:val="en-US" w:eastAsia="zh-CN"/>
        </w:rPr>
        <w:t xml:space="preserve">）主要人员评分标准：见评标办法前附表； </w:t>
      </w:r>
    </w:p>
    <w:p w14:paraId="17B56370">
      <w:pPr>
        <w:pageBreakBefore w:val="0"/>
        <w:kinsoku/>
        <w:wordWrap w:val="0"/>
        <w:bidi w:val="0"/>
        <w:spacing w:line="400" w:lineRule="atLeast"/>
        <w:ind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3</w:t>
      </w:r>
      <w:r>
        <w:rPr>
          <w:rFonts w:hint="eastAsia" w:ascii="Times New Roman" w:hAnsi="Times New Roman" w:cs="Times New Roman"/>
          <w:sz w:val="24"/>
          <w:lang w:val="en-US" w:eastAsia="zh-CN"/>
        </w:rPr>
        <w:t xml:space="preserve">）其他因素评分标准：见评标办法前附表。 </w:t>
      </w:r>
    </w:p>
    <w:p w14:paraId="16535559">
      <w:pPr>
        <w:pageBreakBefore w:val="0"/>
        <w:kinsoku/>
        <w:wordWrap w:val="0"/>
        <w:bidi w:val="0"/>
        <w:spacing w:line="400" w:lineRule="atLeast"/>
        <w:ind w:firstLine="480" w:firstLineChars="200"/>
        <w:rPr>
          <w:rFonts w:hint="eastAsia" w:ascii="Times New Roman" w:hAnsi="Times New Roman" w:cs="Times New Roman"/>
          <w:sz w:val="24"/>
          <w:lang w:val="en-US" w:eastAsia="zh-CN"/>
        </w:rPr>
      </w:pPr>
      <w:r>
        <w:rPr>
          <w:rFonts w:hint="default" w:ascii="Times New Roman" w:hAnsi="Times New Roman" w:cs="Times New Roman"/>
          <w:sz w:val="24"/>
          <w:lang w:val="en-US" w:eastAsia="zh-CN"/>
        </w:rPr>
        <w:t xml:space="preserve">2.2.3 </w:t>
      </w:r>
      <w:r>
        <w:rPr>
          <w:rFonts w:hint="eastAsia" w:ascii="Times New Roman" w:hAnsi="Times New Roman" w:cs="Times New Roman"/>
          <w:sz w:val="24"/>
          <w:lang w:val="en-US" w:eastAsia="zh-CN"/>
        </w:rPr>
        <w:t>第二个信封详细评审标准：见评标办法前附表。</w:t>
      </w:r>
    </w:p>
    <w:p w14:paraId="283F99B3">
      <w:pPr>
        <w:pStyle w:val="2"/>
        <w:pageBreakBefore w:val="0"/>
        <w:kinsoku/>
        <w:wordWrap w:val="0"/>
        <w:bidi w:val="0"/>
        <w:spacing w:before="360" w:after="240" w:line="240" w:lineRule="atLeast"/>
        <w:rPr>
          <w:rFonts w:hint="default" w:ascii="Times New Roman" w:hAnsi="Times New Roman" w:eastAsia="黑体" w:cs="Times New Roman"/>
          <w:b w:val="0"/>
          <w:sz w:val="28"/>
          <w:szCs w:val="28"/>
        </w:rPr>
      </w:pPr>
      <w:r>
        <w:rPr>
          <w:rFonts w:hint="default" w:ascii="Times New Roman" w:hAnsi="Times New Roman" w:eastAsia="黑体" w:cs="Times New Roman"/>
          <w:b w:val="0"/>
          <w:sz w:val="28"/>
          <w:szCs w:val="28"/>
        </w:rPr>
        <w:t>3. 评标程序</w:t>
      </w:r>
      <w:bookmarkEnd w:id="12"/>
      <w:bookmarkEnd w:id="13"/>
    </w:p>
    <w:p w14:paraId="3539103A">
      <w:pPr>
        <w:pStyle w:val="2"/>
        <w:pageBreakBefore w:val="0"/>
        <w:kinsoku/>
        <w:wordWrap w:val="0"/>
        <w:bidi w:val="0"/>
        <w:spacing w:before="240" w:after="240" w:line="240" w:lineRule="atLeast"/>
        <w:rPr>
          <w:rFonts w:hint="default" w:ascii="Times New Roman" w:hAnsi="Times New Roman" w:eastAsia="黑体" w:cs="Times New Roman"/>
          <w:b w:val="0"/>
          <w:sz w:val="24"/>
          <w:szCs w:val="24"/>
        </w:rPr>
      </w:pPr>
      <w:bookmarkStart w:id="14" w:name="_Toc234832938"/>
      <w:bookmarkStart w:id="15" w:name="_Toc12133"/>
      <w:r>
        <w:rPr>
          <w:rFonts w:hint="default" w:ascii="Times New Roman" w:hAnsi="Times New Roman" w:eastAsia="黑体" w:cs="Times New Roman"/>
          <w:b w:val="0"/>
          <w:sz w:val="24"/>
          <w:szCs w:val="24"/>
        </w:rPr>
        <w:t>3.1</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第一个信封初步评审</w:t>
      </w:r>
      <w:bookmarkEnd w:id="14"/>
      <w:bookmarkEnd w:id="15"/>
    </w:p>
    <w:p w14:paraId="3E245C5F">
      <w:pPr>
        <w:pageBreakBefore w:val="0"/>
        <w:kinsoku/>
        <w:wordWrap w:val="0"/>
        <w:bidi w:val="0"/>
        <w:spacing w:line="400" w:lineRule="atLeast"/>
        <w:ind w:firstLine="480" w:firstLineChars="200"/>
      </w:pPr>
      <w:r>
        <w:rPr>
          <w:rFonts w:hint="eastAsia" w:ascii="Times New Roman" w:hAnsi="Times New Roman" w:cs="Times New Roman"/>
          <w:sz w:val="24"/>
          <w:lang w:val="en-US" w:eastAsia="zh-CN"/>
        </w:rPr>
        <w:t xml:space="preserve">3.1.1 评标委员会可以要求投标人提交第二章“投标人须知”第 </w:t>
      </w:r>
      <w:r>
        <w:rPr>
          <w:rFonts w:hint="default" w:ascii="Times New Roman" w:hAnsi="Times New Roman" w:cs="Times New Roman"/>
          <w:sz w:val="24"/>
          <w:lang w:val="en-US" w:eastAsia="zh-CN"/>
        </w:rPr>
        <w:t xml:space="preserve">3.5.1 </w:t>
      </w:r>
      <w:r>
        <w:rPr>
          <w:rFonts w:hint="eastAsia" w:ascii="Times New Roman" w:hAnsi="Times New Roman" w:cs="Times New Roman"/>
          <w:sz w:val="24"/>
          <w:lang w:val="en-US" w:eastAsia="zh-CN"/>
        </w:rPr>
        <w:t xml:space="preserve">项至第 </w:t>
      </w:r>
      <w:r>
        <w:rPr>
          <w:rFonts w:hint="default" w:ascii="Times New Roman" w:hAnsi="Times New Roman" w:cs="Times New Roman"/>
          <w:sz w:val="24"/>
          <w:lang w:val="en-US" w:eastAsia="zh-CN"/>
        </w:rPr>
        <w:t xml:space="preserve">3. 5.6 </w:t>
      </w:r>
      <w:r>
        <w:rPr>
          <w:rFonts w:hint="eastAsia" w:ascii="Times New Roman" w:hAnsi="Times New Roman" w:cs="Times New Roman"/>
          <w:sz w:val="24"/>
          <w:lang w:val="en-US" w:eastAsia="zh-CN"/>
        </w:rPr>
        <w:t xml:space="preserve">项规定的有关证明和证件的原件，以便核验。评标委员会依据本章第 </w:t>
      </w:r>
      <w:r>
        <w:rPr>
          <w:rFonts w:hint="default" w:ascii="Times New Roman" w:hAnsi="Times New Roman" w:cs="Times New Roman"/>
          <w:sz w:val="24"/>
          <w:lang w:val="en-US" w:eastAsia="zh-CN"/>
        </w:rPr>
        <w:t xml:space="preserve">2.1 </w:t>
      </w:r>
      <w:r>
        <w:rPr>
          <w:rFonts w:hint="eastAsia" w:ascii="Times New Roman" w:hAnsi="Times New Roman" w:cs="Times New Roman"/>
          <w:sz w:val="24"/>
          <w:lang w:val="en-US" w:eastAsia="zh-CN"/>
        </w:rPr>
        <w:t>款规定的标准对投标文件第一个信封（商务及技术文件）进行初步评审。有一项不符合评审标准的，评标委员会应否决其投标。</w:t>
      </w:r>
    </w:p>
    <w:p w14:paraId="6C0D40B2">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3.1.1 评标委员会依据本章第2.1.1项、第2.1.3项规定的评审标准对投标文件第一个信封（商务及技术文件）进行初步评审。有一项不符合评审标准的，评标委员会应否决其投标。</w:t>
      </w:r>
    </w:p>
    <w:p w14:paraId="3BD8941B">
      <w:pPr>
        <w:keepNext w:val="0"/>
        <w:keepLines w:val="0"/>
        <w:widowControl/>
        <w:suppressLineNumbers w:val="0"/>
        <w:jc w:val="left"/>
      </w:pPr>
      <w:bookmarkStart w:id="16" w:name="_Toc20429"/>
      <w:r>
        <w:rPr>
          <w:rFonts w:hint="default" w:ascii="Times New Roman" w:hAnsi="Times New Roman" w:eastAsia="黑体" w:cs="Times New Roman"/>
          <w:b w:val="0"/>
          <w:sz w:val="24"/>
          <w:szCs w:val="24"/>
        </w:rPr>
        <w:t>3.2</w:t>
      </w:r>
      <w:r>
        <w:rPr>
          <w:rFonts w:hint="default" w:ascii="Times New Roman" w:hAnsi="Times New Roman" w:eastAsia="黑体" w:cs="Times New Roman"/>
          <w:b w:val="0"/>
          <w:sz w:val="24"/>
          <w:szCs w:val="24"/>
          <w:lang w:eastAsia="zh-CN"/>
        </w:rPr>
        <w:t xml:space="preserve"> </w:t>
      </w:r>
      <w:bookmarkEnd w:id="16"/>
      <w:r>
        <w:rPr>
          <w:rFonts w:ascii="Calibri" w:hAnsi="Calibri" w:eastAsia="宋体" w:cs="Calibri"/>
          <w:color w:val="000000"/>
          <w:kern w:val="0"/>
          <w:sz w:val="24"/>
          <w:szCs w:val="24"/>
          <w:lang w:val="en-US" w:eastAsia="zh-CN" w:bidi="ar"/>
        </w:rPr>
        <w:t xml:space="preserve"> </w:t>
      </w:r>
      <w:r>
        <w:rPr>
          <w:rFonts w:ascii="黑体" w:hAnsi="宋体" w:eastAsia="黑体" w:cs="黑体"/>
          <w:color w:val="000000"/>
          <w:kern w:val="0"/>
          <w:sz w:val="24"/>
          <w:szCs w:val="24"/>
          <w:lang w:val="en-US" w:eastAsia="zh-CN" w:bidi="ar"/>
        </w:rPr>
        <w:t>第一个信封详细评审</w:t>
      </w:r>
    </w:p>
    <w:p w14:paraId="25A234CC">
      <w:pPr>
        <w:pageBreakBefore w:val="0"/>
        <w:kinsoku/>
        <w:wordWrap w:val="0"/>
        <w:bidi w:val="0"/>
        <w:spacing w:line="400" w:lineRule="atLeast"/>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 xml:space="preserve">3.2.1 </w:t>
      </w:r>
      <w:r>
        <w:rPr>
          <w:rFonts w:hint="eastAsia" w:ascii="Times New Roman" w:hAnsi="Times New Roman" w:eastAsia="宋体" w:cs="Times New Roman"/>
          <w:sz w:val="24"/>
          <w:lang w:val="en-US" w:eastAsia="zh-CN"/>
        </w:rPr>
        <w:t xml:space="preserve">评标委员会按本章第 </w:t>
      </w:r>
      <w:r>
        <w:rPr>
          <w:rFonts w:hint="default" w:ascii="Times New Roman" w:hAnsi="Times New Roman" w:eastAsia="宋体" w:cs="Times New Roman"/>
          <w:sz w:val="24"/>
          <w:lang w:val="en-US" w:eastAsia="zh-CN"/>
        </w:rPr>
        <w:t xml:space="preserve">2.2 </w:t>
      </w:r>
      <w:r>
        <w:rPr>
          <w:rFonts w:hint="eastAsia" w:ascii="Times New Roman" w:hAnsi="Times New Roman" w:eastAsia="宋体" w:cs="Times New Roman"/>
          <w:sz w:val="24"/>
          <w:lang w:val="en-US" w:eastAsia="zh-CN"/>
        </w:rPr>
        <w:t xml:space="preserve">款规定的量化因素和分值进行打分，并计算出各 </w:t>
      </w:r>
    </w:p>
    <w:p w14:paraId="7AB2868D">
      <w:pPr>
        <w:pageBreakBefore w:val="0"/>
        <w:kinsoku/>
        <w:wordWrap w:val="0"/>
        <w:bidi w:val="0"/>
        <w:spacing w:line="400" w:lineRule="atLeast"/>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 xml:space="preserve">投标人的商务和技术得分。 </w:t>
      </w:r>
    </w:p>
    <w:p w14:paraId="4393D032">
      <w:pPr>
        <w:pageBreakBefore w:val="0"/>
        <w:kinsoku/>
        <w:wordWrap w:val="0"/>
        <w:bidi w:val="0"/>
        <w:spacing w:line="400" w:lineRule="atLeast"/>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1</w:t>
      </w:r>
      <w:r>
        <w:rPr>
          <w:rFonts w:hint="eastAsia" w:ascii="Times New Roman" w:hAnsi="Times New Roman" w:eastAsia="宋体" w:cs="Times New Roman"/>
          <w:sz w:val="24"/>
          <w:lang w:val="en-US" w:eastAsia="zh-CN"/>
        </w:rPr>
        <w:t xml:space="preserve">）按本章第 </w:t>
      </w:r>
      <w:r>
        <w:rPr>
          <w:rFonts w:hint="default" w:ascii="Times New Roman" w:hAnsi="Times New Roman" w:eastAsia="宋体" w:cs="Times New Roman"/>
          <w:sz w:val="24"/>
          <w:lang w:val="en-US" w:eastAsia="zh-CN"/>
        </w:rPr>
        <w:t xml:space="preserve">2.2.2 </w:t>
      </w:r>
      <w:r>
        <w:rPr>
          <w:rFonts w:hint="eastAsia" w:ascii="Times New Roman" w:hAnsi="Times New Roman" w:eastAsia="宋体" w:cs="Times New Roman"/>
          <w:sz w:val="24"/>
          <w:lang w:val="en-US" w:eastAsia="zh-CN"/>
        </w:rPr>
        <w:t>项（</w:t>
      </w:r>
      <w:r>
        <w:rPr>
          <w:rFonts w:hint="default" w:ascii="Times New Roman" w:hAnsi="Times New Roman" w:eastAsia="宋体" w:cs="Times New Roman"/>
          <w:sz w:val="24"/>
          <w:lang w:val="en-US" w:eastAsia="zh-CN"/>
        </w:rPr>
        <w:t>1</w:t>
      </w:r>
      <w:r>
        <w:rPr>
          <w:rFonts w:hint="eastAsia" w:ascii="Times New Roman" w:hAnsi="Times New Roman" w:eastAsia="宋体" w:cs="Times New Roman"/>
          <w:sz w:val="24"/>
          <w:lang w:val="en-US" w:eastAsia="zh-CN"/>
        </w:rPr>
        <w:t xml:space="preserve">）目规定的评审因素和分值对施工组织设计部分计算 </w:t>
      </w:r>
    </w:p>
    <w:p w14:paraId="59CE51F7">
      <w:pPr>
        <w:pageBreakBefore w:val="0"/>
        <w:kinsoku/>
        <w:wordWrap w:val="0"/>
        <w:bidi w:val="0"/>
        <w:spacing w:line="400" w:lineRule="atLeast"/>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 xml:space="preserve">出得分 </w:t>
      </w:r>
      <w:r>
        <w:rPr>
          <w:rFonts w:hint="default" w:ascii="Times New Roman" w:hAnsi="Times New Roman" w:eastAsia="宋体" w:cs="Times New Roman"/>
          <w:sz w:val="24"/>
          <w:lang w:val="en-US" w:eastAsia="zh-CN"/>
        </w:rPr>
        <w:t>A</w:t>
      </w:r>
      <w:r>
        <w:rPr>
          <w:rFonts w:hint="eastAsia" w:ascii="Times New Roman" w:hAnsi="Times New Roman" w:eastAsia="宋体" w:cs="Times New Roman"/>
          <w:sz w:val="24"/>
          <w:lang w:val="en-US" w:eastAsia="zh-CN"/>
        </w:rPr>
        <w:t xml:space="preserve">； </w:t>
      </w:r>
    </w:p>
    <w:p w14:paraId="04BC3603">
      <w:pPr>
        <w:pageBreakBefore w:val="0"/>
        <w:kinsoku/>
        <w:wordWrap w:val="0"/>
        <w:bidi w:val="0"/>
        <w:spacing w:line="400" w:lineRule="atLeast"/>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2</w:t>
      </w:r>
      <w:r>
        <w:rPr>
          <w:rFonts w:hint="eastAsia" w:ascii="Times New Roman" w:hAnsi="Times New Roman" w:eastAsia="宋体" w:cs="Times New Roman"/>
          <w:sz w:val="24"/>
          <w:lang w:val="en-US" w:eastAsia="zh-CN"/>
        </w:rPr>
        <w:t xml:space="preserve">）按本章第 </w:t>
      </w:r>
      <w:r>
        <w:rPr>
          <w:rFonts w:hint="default" w:ascii="Times New Roman" w:hAnsi="Times New Roman" w:eastAsia="宋体" w:cs="Times New Roman"/>
          <w:sz w:val="24"/>
          <w:lang w:val="en-US" w:eastAsia="zh-CN"/>
        </w:rPr>
        <w:t xml:space="preserve">2.2.2 </w:t>
      </w:r>
      <w:r>
        <w:rPr>
          <w:rFonts w:hint="eastAsia" w:ascii="Times New Roman" w:hAnsi="Times New Roman" w:eastAsia="宋体" w:cs="Times New Roman"/>
          <w:sz w:val="24"/>
          <w:lang w:val="en-US" w:eastAsia="zh-CN"/>
        </w:rPr>
        <w:t>项（</w:t>
      </w:r>
      <w:r>
        <w:rPr>
          <w:rFonts w:hint="default" w:ascii="Times New Roman" w:hAnsi="Times New Roman" w:eastAsia="宋体" w:cs="Times New Roman"/>
          <w:sz w:val="24"/>
          <w:lang w:val="en-US" w:eastAsia="zh-CN"/>
        </w:rPr>
        <w:t>2</w:t>
      </w:r>
      <w:r>
        <w:rPr>
          <w:rFonts w:hint="eastAsia" w:ascii="Times New Roman" w:hAnsi="Times New Roman" w:eastAsia="宋体" w:cs="Times New Roman"/>
          <w:sz w:val="24"/>
          <w:lang w:val="en-US" w:eastAsia="zh-CN"/>
        </w:rPr>
        <w:t xml:space="preserve">）目规定的评审因素和分值对主要人员部分计算出得 </w:t>
      </w:r>
    </w:p>
    <w:p w14:paraId="0FC61EA8">
      <w:pPr>
        <w:pageBreakBefore w:val="0"/>
        <w:kinsoku/>
        <w:wordWrap w:val="0"/>
        <w:bidi w:val="0"/>
        <w:spacing w:line="400" w:lineRule="atLeast"/>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 xml:space="preserve">分 </w:t>
      </w:r>
      <w:r>
        <w:rPr>
          <w:rFonts w:hint="default" w:ascii="Times New Roman" w:hAnsi="Times New Roman" w:eastAsia="宋体" w:cs="Times New Roman"/>
          <w:sz w:val="24"/>
          <w:lang w:val="en-US" w:eastAsia="zh-CN"/>
        </w:rPr>
        <w:t>B</w:t>
      </w:r>
      <w:r>
        <w:rPr>
          <w:rFonts w:hint="eastAsia" w:ascii="Times New Roman" w:hAnsi="Times New Roman" w:eastAsia="宋体" w:cs="Times New Roman"/>
          <w:sz w:val="24"/>
          <w:lang w:val="en-US" w:eastAsia="zh-CN"/>
        </w:rPr>
        <w:t xml:space="preserve">； </w:t>
      </w:r>
    </w:p>
    <w:p w14:paraId="56808EE8">
      <w:pPr>
        <w:pageBreakBefore w:val="0"/>
        <w:kinsoku/>
        <w:wordWrap w:val="0"/>
        <w:bidi w:val="0"/>
        <w:spacing w:line="400" w:lineRule="atLeast"/>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3</w:t>
      </w:r>
      <w:r>
        <w:rPr>
          <w:rFonts w:hint="eastAsia" w:ascii="Times New Roman" w:hAnsi="Times New Roman" w:eastAsia="宋体" w:cs="Times New Roman"/>
          <w:sz w:val="24"/>
          <w:lang w:val="en-US" w:eastAsia="zh-CN"/>
        </w:rPr>
        <w:t xml:space="preserve">）按本章第 </w:t>
      </w:r>
      <w:r>
        <w:rPr>
          <w:rFonts w:hint="default" w:ascii="Times New Roman" w:hAnsi="Times New Roman" w:eastAsia="宋体" w:cs="Times New Roman"/>
          <w:sz w:val="24"/>
          <w:lang w:val="en-US" w:eastAsia="zh-CN"/>
        </w:rPr>
        <w:t xml:space="preserve">2.2.2 </w:t>
      </w:r>
      <w:r>
        <w:rPr>
          <w:rFonts w:hint="eastAsia" w:ascii="Times New Roman" w:hAnsi="Times New Roman" w:eastAsia="宋体" w:cs="Times New Roman"/>
          <w:sz w:val="24"/>
          <w:lang w:val="en-US" w:eastAsia="zh-CN"/>
        </w:rPr>
        <w:t>项（</w:t>
      </w:r>
      <w:r>
        <w:rPr>
          <w:rFonts w:hint="default" w:ascii="Times New Roman" w:hAnsi="Times New Roman" w:eastAsia="宋体" w:cs="Times New Roman"/>
          <w:sz w:val="24"/>
          <w:lang w:val="en-US" w:eastAsia="zh-CN"/>
        </w:rPr>
        <w:t>3</w:t>
      </w:r>
      <w:r>
        <w:rPr>
          <w:rFonts w:hint="eastAsia" w:ascii="Times New Roman" w:hAnsi="Times New Roman" w:eastAsia="宋体" w:cs="Times New Roman"/>
          <w:sz w:val="24"/>
          <w:lang w:val="en-US" w:eastAsia="zh-CN"/>
        </w:rPr>
        <w:t xml:space="preserve">）目规定的评审因素和分值对其他部分计算出得分 </w:t>
      </w:r>
      <w:r>
        <w:rPr>
          <w:rFonts w:hint="default" w:ascii="Times New Roman" w:hAnsi="Times New Roman" w:eastAsia="宋体" w:cs="Times New Roman"/>
          <w:sz w:val="24"/>
          <w:lang w:val="en-US" w:eastAsia="zh-CN"/>
        </w:rPr>
        <w:t>C</w:t>
      </w:r>
      <w:r>
        <w:rPr>
          <w:rFonts w:hint="eastAsia" w:ascii="Times New Roman" w:hAnsi="Times New Roman" w:eastAsia="宋体" w:cs="Times New Roman"/>
          <w:sz w:val="24"/>
          <w:lang w:val="en-US" w:eastAsia="zh-CN"/>
        </w:rPr>
        <w:t>。</w:t>
      </w:r>
    </w:p>
    <w:p w14:paraId="1CC73F7F">
      <w:pPr>
        <w:pageBreakBefore w:val="0"/>
        <w:kinsoku/>
        <w:wordWrap w:val="0"/>
        <w:bidi w:val="0"/>
        <w:spacing w:line="400" w:lineRule="atLeast"/>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 xml:space="preserve">3.2.2 </w:t>
      </w:r>
      <w:r>
        <w:rPr>
          <w:rFonts w:hint="eastAsia" w:ascii="Times New Roman" w:hAnsi="Times New Roman" w:eastAsia="宋体" w:cs="Times New Roman"/>
          <w:sz w:val="24"/>
          <w:lang w:val="en-US" w:eastAsia="zh-CN"/>
        </w:rPr>
        <w:t xml:space="preserve">投标人的商务和技术得分分值计算保留小数点后两位，小数点后第三位 </w:t>
      </w:r>
    </w:p>
    <w:p w14:paraId="7A07EEC9">
      <w:pPr>
        <w:pageBreakBefore w:val="0"/>
        <w:kinsoku/>
        <w:wordWrap w:val="0"/>
        <w:bidi w:val="0"/>
        <w:spacing w:line="400" w:lineRule="atLeast"/>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 xml:space="preserve">“四舍五入”。 </w:t>
      </w:r>
    </w:p>
    <w:p w14:paraId="4EA60112">
      <w:pPr>
        <w:pageBreakBefore w:val="0"/>
        <w:kinsoku/>
        <w:wordWrap w:val="0"/>
        <w:bidi w:val="0"/>
        <w:spacing w:line="400" w:lineRule="atLeast"/>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 xml:space="preserve">3.2.3 </w:t>
      </w:r>
      <w:r>
        <w:rPr>
          <w:rFonts w:hint="eastAsia" w:ascii="Times New Roman" w:hAnsi="Times New Roman" w:eastAsia="宋体" w:cs="Times New Roman"/>
          <w:sz w:val="24"/>
          <w:lang w:val="en-US" w:eastAsia="zh-CN"/>
        </w:rPr>
        <w:t>投标人的商务和技术得分</w:t>
      </w:r>
      <w:r>
        <w:rPr>
          <w:rFonts w:hint="default" w:ascii="Times New Roman" w:hAnsi="Times New Roman" w:eastAsia="宋体" w:cs="Times New Roman"/>
          <w:sz w:val="24"/>
          <w:lang w:val="en-US" w:eastAsia="zh-CN"/>
        </w:rPr>
        <w:t>=A+B+C</w:t>
      </w:r>
      <w:r>
        <w:rPr>
          <w:rFonts w:hint="eastAsia" w:ascii="Times New Roman" w:hAnsi="Times New Roman" w:eastAsia="宋体" w:cs="Times New Roman"/>
          <w:sz w:val="24"/>
          <w:lang w:val="en-US" w:eastAsia="zh-CN"/>
        </w:rPr>
        <w:t xml:space="preserve">。 </w:t>
      </w:r>
    </w:p>
    <w:p w14:paraId="39DD6CCB">
      <w:pPr>
        <w:pageBreakBefore w:val="0"/>
        <w:kinsoku/>
        <w:wordWrap w:val="0"/>
        <w:bidi w:val="0"/>
        <w:spacing w:line="400" w:lineRule="atLeast"/>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 xml:space="preserve">3.2.4 </w:t>
      </w:r>
      <w:r>
        <w:rPr>
          <w:rFonts w:hint="eastAsia" w:ascii="Times New Roman" w:hAnsi="Times New Roman" w:eastAsia="宋体" w:cs="Times New Roman"/>
          <w:sz w:val="24"/>
          <w:lang w:val="en-US" w:eastAsia="zh-CN"/>
        </w:rPr>
        <w:t xml:space="preserve">评标委员会按照投标人的商务和技术得分由高到低排序，排名在评标办法 </w:t>
      </w:r>
    </w:p>
    <w:p w14:paraId="72BB7E27">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前附表规定数量以内的投标人，其投标文件第一个信封（商务及技术文件）通过详细评审。</w:t>
      </w:r>
    </w:p>
    <w:p w14:paraId="533B958D">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3.2.5 通过投标文件第一个信封（商务及技术文件）初步评审的投标人不少于 </w:t>
      </w:r>
      <w:r>
        <w:rPr>
          <w:rFonts w:hint="default" w:ascii="Times New Roman" w:hAnsi="Times New Roman" w:eastAsia="宋体" w:cs="Times New Roman"/>
          <w:sz w:val="24"/>
          <w:lang w:val="en-US" w:eastAsia="zh-CN"/>
        </w:rPr>
        <w:t xml:space="preserve">3 </w:t>
      </w:r>
    </w:p>
    <w:p w14:paraId="344444E4">
      <w:pPr>
        <w:pageBreakBefore w:val="0"/>
        <w:kinsoku/>
        <w:wordWrap w:val="0"/>
        <w:bidi w:val="0"/>
        <w:spacing w:line="400" w:lineRule="atLeas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个且未超过评标办法前附表第 </w:t>
      </w:r>
      <w:r>
        <w:rPr>
          <w:rFonts w:hint="default" w:ascii="Times New Roman" w:hAnsi="Times New Roman" w:eastAsia="宋体" w:cs="Times New Roman"/>
          <w:sz w:val="24"/>
          <w:lang w:val="en-US" w:eastAsia="zh-CN"/>
        </w:rPr>
        <w:t xml:space="preserve">3.2.4 </w:t>
      </w:r>
      <w:r>
        <w:rPr>
          <w:rFonts w:hint="eastAsia" w:ascii="Times New Roman" w:hAnsi="Times New Roman" w:eastAsia="宋体" w:cs="Times New Roman"/>
          <w:sz w:val="24"/>
          <w:lang w:val="en-US" w:eastAsia="zh-CN"/>
        </w:rPr>
        <w:t>项规定数量的，均通过投标文件第一个信封（商务及技术文件）详细评审，不再对投标人的商务和技术文件进行评分。</w:t>
      </w:r>
    </w:p>
    <w:p w14:paraId="345DDE63">
      <w:pPr>
        <w:keepNext w:val="0"/>
        <w:keepLines w:val="0"/>
        <w:widowControl/>
        <w:suppressLineNumbers w:val="0"/>
        <w:jc w:val="left"/>
      </w:pPr>
      <w:r>
        <w:rPr>
          <w:rFonts w:ascii="Calibri" w:hAnsi="Calibri" w:eastAsia="宋体" w:cs="Calibri"/>
          <w:color w:val="000000"/>
          <w:kern w:val="0"/>
          <w:sz w:val="24"/>
          <w:szCs w:val="24"/>
          <w:lang w:val="en-US" w:eastAsia="zh-CN" w:bidi="ar"/>
        </w:rPr>
        <w:t xml:space="preserve">3.3 </w:t>
      </w:r>
      <w:r>
        <w:rPr>
          <w:rFonts w:ascii="黑体" w:hAnsi="宋体" w:eastAsia="黑体" w:cs="黑体"/>
          <w:color w:val="000000"/>
          <w:kern w:val="0"/>
          <w:sz w:val="24"/>
          <w:szCs w:val="24"/>
          <w:lang w:val="en-US" w:eastAsia="zh-CN" w:bidi="ar"/>
        </w:rPr>
        <w:t xml:space="preserve">第二个信封开标 </w:t>
      </w:r>
    </w:p>
    <w:p w14:paraId="01617383">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第一个信封（商务及技术文件）评审结束后，招标人将按照第二章“投标人须 </w:t>
      </w:r>
    </w:p>
    <w:p w14:paraId="0E34579B">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知”第 </w:t>
      </w:r>
      <w:r>
        <w:rPr>
          <w:rFonts w:hint="default" w:ascii="Times New Roman" w:hAnsi="Times New Roman" w:eastAsia="宋体" w:cs="Times New Roman"/>
          <w:sz w:val="24"/>
          <w:lang w:val="en-US" w:eastAsia="zh-CN"/>
        </w:rPr>
        <w:t xml:space="preserve">5.1 </w:t>
      </w:r>
      <w:r>
        <w:rPr>
          <w:rFonts w:hint="eastAsia" w:ascii="Times New Roman" w:hAnsi="Times New Roman" w:eastAsia="宋体" w:cs="Times New Roman"/>
          <w:sz w:val="24"/>
          <w:lang w:val="en-US" w:eastAsia="zh-CN"/>
        </w:rPr>
        <w:t xml:space="preserve">款规定的时间和地点对通过投标文件第一个信封（商务及技术文件）评审的投标文件第二个信封（报价文件）进行开标。 </w:t>
      </w:r>
    </w:p>
    <w:p w14:paraId="055105D6">
      <w:pPr>
        <w:keepNext w:val="0"/>
        <w:keepLines w:val="0"/>
        <w:widowControl/>
        <w:suppressLineNumbers w:val="0"/>
        <w:jc w:val="left"/>
        <w:rPr>
          <w:rFonts w:hint="eastAsia" w:ascii="Calibri" w:hAnsi="Calibri" w:eastAsia="宋体" w:cs="Calibri"/>
          <w:b/>
          <w:bCs/>
          <w:color w:val="000000"/>
          <w:kern w:val="0"/>
          <w:sz w:val="24"/>
          <w:szCs w:val="24"/>
          <w:lang w:val="en-US" w:eastAsia="zh-CN" w:bidi="ar"/>
        </w:rPr>
      </w:pPr>
      <w:r>
        <w:rPr>
          <w:rFonts w:hint="default" w:ascii="Calibri" w:hAnsi="Calibri" w:eastAsia="宋体" w:cs="Calibri"/>
          <w:b/>
          <w:bCs/>
          <w:color w:val="000000"/>
          <w:kern w:val="0"/>
          <w:sz w:val="24"/>
          <w:szCs w:val="24"/>
          <w:lang w:val="en-US" w:eastAsia="zh-CN" w:bidi="ar"/>
        </w:rPr>
        <w:t xml:space="preserve">3.4 </w:t>
      </w:r>
      <w:r>
        <w:rPr>
          <w:rFonts w:hint="eastAsia" w:ascii="Calibri" w:hAnsi="Calibri" w:eastAsia="宋体" w:cs="Calibri"/>
          <w:b/>
          <w:bCs/>
          <w:color w:val="000000"/>
          <w:kern w:val="0"/>
          <w:sz w:val="24"/>
          <w:szCs w:val="24"/>
          <w:lang w:val="en-US" w:eastAsia="zh-CN" w:bidi="ar"/>
        </w:rPr>
        <w:t xml:space="preserve">第二个信封初步评审 </w:t>
      </w:r>
    </w:p>
    <w:p w14:paraId="38964DE1">
      <w:pPr>
        <w:pageBreakBefore w:val="0"/>
        <w:kinsoku/>
        <w:wordWrap w:val="0"/>
        <w:bidi w:val="0"/>
        <w:spacing w:line="400" w:lineRule="atLeast"/>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3.4.1 </w:t>
      </w:r>
      <w:r>
        <w:rPr>
          <w:rFonts w:hint="eastAsia" w:ascii="Times New Roman" w:hAnsi="Times New Roman" w:eastAsia="宋体" w:cs="Times New Roman"/>
          <w:sz w:val="24"/>
          <w:lang w:val="en-US" w:eastAsia="zh-CN"/>
        </w:rPr>
        <w:t xml:space="preserve">评标委员会依据本章第 </w:t>
      </w:r>
      <w:r>
        <w:rPr>
          <w:rFonts w:hint="default" w:ascii="Times New Roman" w:hAnsi="Times New Roman" w:eastAsia="宋体" w:cs="Times New Roman"/>
          <w:sz w:val="24"/>
          <w:lang w:val="en-US" w:eastAsia="zh-CN"/>
        </w:rPr>
        <w:t xml:space="preserve">2.1.1 </w:t>
      </w:r>
      <w:r>
        <w:rPr>
          <w:rFonts w:hint="eastAsia" w:ascii="Times New Roman" w:hAnsi="Times New Roman" w:eastAsia="宋体" w:cs="Times New Roman"/>
          <w:sz w:val="24"/>
          <w:lang w:val="en-US" w:eastAsia="zh-CN"/>
        </w:rPr>
        <w:t xml:space="preserve">项、第 </w:t>
      </w:r>
      <w:r>
        <w:rPr>
          <w:rFonts w:hint="default" w:ascii="Times New Roman" w:hAnsi="Times New Roman" w:eastAsia="宋体" w:cs="Times New Roman"/>
          <w:sz w:val="24"/>
          <w:lang w:val="en-US" w:eastAsia="zh-CN"/>
        </w:rPr>
        <w:t xml:space="preserve">2.1.3 </w:t>
      </w:r>
      <w:r>
        <w:rPr>
          <w:rFonts w:hint="eastAsia" w:ascii="Times New Roman" w:hAnsi="Times New Roman" w:eastAsia="宋体" w:cs="Times New Roman"/>
          <w:sz w:val="24"/>
          <w:lang w:val="en-US" w:eastAsia="zh-CN"/>
        </w:rPr>
        <w:t xml:space="preserve">项规定的评审标准对投标文件第二个信封（报价文件）进行初步评审。有一项不符合评审标准的，评标委员会应否决其投标。 </w:t>
      </w:r>
    </w:p>
    <w:p w14:paraId="3BA8BE8C">
      <w:pPr>
        <w:pageBreakBefore w:val="0"/>
        <w:kinsoku/>
        <w:wordWrap w:val="0"/>
        <w:bidi w:val="0"/>
        <w:spacing w:line="400" w:lineRule="atLeast"/>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3.4.2</w:t>
      </w:r>
    </w:p>
    <w:p w14:paraId="30AA2B25">
      <w:pPr>
        <w:keepNext w:val="0"/>
        <w:keepLines w:val="0"/>
        <w:widowControl/>
        <w:suppressLineNumbers w:val="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投标报价有算术错误的，评标委员会按以下原则对投标报价进行修正</w:t>
      </w:r>
      <w:r>
        <w:rPr>
          <w:rFonts w:hint="eastAsia" w:ascii="宋体" w:hAnsi="宋体" w:eastAsia="宋体" w:cs="宋体"/>
          <w:color w:val="000000"/>
          <w:kern w:val="0"/>
          <w:sz w:val="24"/>
          <w:szCs w:val="24"/>
          <w:lang w:val="en-US" w:eastAsia="zh-CN" w:bidi="ar"/>
        </w:rPr>
        <w:t>修正的价格经投标人书面确认后具有约束力。投标人不接受修正价格的，评标委员会应否决其投标。</w:t>
      </w:r>
      <w:r>
        <w:rPr>
          <w:rFonts w:hint="eastAsia" w:ascii="Times New Roman" w:hAnsi="Times New Roman" w:eastAsia="宋体" w:cs="Times New Roman"/>
          <w:sz w:val="24"/>
          <w:lang w:val="en-US" w:eastAsia="zh-CN"/>
        </w:rPr>
        <w:t xml:space="preserve"> </w:t>
      </w:r>
    </w:p>
    <w:p w14:paraId="6D08E862">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1</w:t>
      </w:r>
      <w:r>
        <w:rPr>
          <w:rFonts w:hint="eastAsia" w:ascii="Times New Roman" w:hAnsi="Times New Roman" w:eastAsia="宋体" w:cs="Times New Roman"/>
          <w:sz w:val="24"/>
          <w:lang w:val="en-US" w:eastAsia="zh-CN"/>
        </w:rPr>
        <w:t xml:space="preserve">）投标文件中的大写金额与小写金额不一致的，以大写金额为准； </w:t>
      </w:r>
    </w:p>
    <w:p w14:paraId="7C4C716F">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2</w:t>
      </w:r>
      <w:r>
        <w:rPr>
          <w:rFonts w:hint="eastAsia" w:ascii="Times New Roman" w:hAnsi="Times New Roman" w:eastAsia="宋体" w:cs="Times New Roman"/>
          <w:sz w:val="24"/>
          <w:lang w:val="en-US" w:eastAsia="zh-CN"/>
        </w:rPr>
        <w:t xml:space="preserve">）总价金额与依据单价计算出的结果不一致的，以单价金额为准修正总价， </w:t>
      </w:r>
    </w:p>
    <w:p w14:paraId="2BDD3424">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但单价金额小数点有明显错误的除外</w:t>
      </w:r>
      <w:r>
        <w:rPr>
          <w:rFonts w:hint="default" w:ascii="Times New Roman" w:hAnsi="Times New Roman" w:eastAsia="宋体" w:cs="Times New Roman"/>
          <w:sz w:val="24"/>
          <w:lang w:val="en-US" w:eastAsia="zh-CN"/>
        </w:rPr>
        <w:t xml:space="preserve">; </w:t>
      </w:r>
    </w:p>
    <w:p w14:paraId="706A550D">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3</w:t>
      </w:r>
      <w:r>
        <w:rPr>
          <w:rFonts w:hint="eastAsia" w:ascii="Times New Roman" w:hAnsi="Times New Roman" w:eastAsia="宋体" w:cs="Times New Roman"/>
          <w:sz w:val="24"/>
          <w:lang w:val="en-US" w:eastAsia="zh-CN"/>
        </w:rPr>
        <w:t xml:space="preserve">）当单价与数量相乘不等于合价时，以单价计算为准，如果单价有明显的小 </w:t>
      </w:r>
    </w:p>
    <w:p w14:paraId="18FCD35D">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数点位置差错，应以标出的合价为准，同时对单价予以修正； </w:t>
      </w:r>
    </w:p>
    <w:p w14:paraId="7741232A">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4</w:t>
      </w:r>
      <w:r>
        <w:rPr>
          <w:rFonts w:hint="eastAsia" w:ascii="Times New Roman" w:hAnsi="Times New Roman" w:eastAsia="宋体" w:cs="Times New Roman"/>
          <w:sz w:val="24"/>
          <w:lang w:val="en-US" w:eastAsia="zh-CN"/>
        </w:rPr>
        <w:t xml:space="preserve">）当各子目的合价累计不等于总价时，应以各子目合价累计数为准，修正总 </w:t>
      </w:r>
    </w:p>
    <w:p w14:paraId="1E3B1CC6">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价。 </w:t>
      </w:r>
    </w:p>
    <w:p w14:paraId="2B247BBC">
      <w:pPr>
        <w:pageBreakBefore w:val="0"/>
        <w:kinsoku/>
        <w:wordWrap w:val="0"/>
        <w:bidi w:val="0"/>
        <w:spacing w:line="400" w:lineRule="atLeast"/>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3.4.3 </w:t>
      </w:r>
      <w:r>
        <w:rPr>
          <w:rFonts w:hint="eastAsia" w:ascii="Times New Roman" w:hAnsi="Times New Roman" w:eastAsia="宋体" w:cs="Times New Roman"/>
          <w:sz w:val="24"/>
          <w:lang w:val="en-US" w:eastAsia="zh-CN"/>
        </w:rPr>
        <w:t xml:space="preserve">工程量清单中的投标报价有其他错误的，评标委员会按以下原则对投标报 </w:t>
      </w:r>
    </w:p>
    <w:p w14:paraId="46DF10FC">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价进行修正，修正的价格经投标人书面确认后具有约束力。投标人不接受修正价格的，评标委员会应否决其投标。 </w:t>
      </w:r>
    </w:p>
    <w:p w14:paraId="36C0365E">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1</w:t>
      </w:r>
      <w:r>
        <w:rPr>
          <w:rFonts w:hint="eastAsia" w:ascii="Times New Roman" w:hAnsi="Times New Roman" w:eastAsia="宋体" w:cs="Times New Roman"/>
          <w:sz w:val="24"/>
          <w:lang w:val="en-US" w:eastAsia="zh-CN"/>
        </w:rPr>
        <w:t>）在招标人给定的工程量清单中漏报了某个工程子目的单价、合价或总额价，</w:t>
      </w:r>
    </w:p>
    <w:p w14:paraId="5519ACA7">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或所报单价、合价或总额价减少了报价范围，则漏报的工程子目单价、合价和总额价或单价、合价和总额价中减少的报价内容视为已含入其他工程子目的单价、合价和总额价之中。 </w:t>
      </w:r>
    </w:p>
    <w:p w14:paraId="23139F01">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2</w:t>
      </w:r>
      <w:r>
        <w:rPr>
          <w:rFonts w:hint="eastAsia" w:ascii="Times New Roman" w:hAnsi="Times New Roman" w:eastAsia="宋体" w:cs="Times New Roman"/>
          <w:sz w:val="24"/>
          <w:lang w:val="en-US" w:eastAsia="zh-CN"/>
        </w:rPr>
        <w:t>）在招标人给定的工程量清单中多报了某个工程子目的单价、合价或总额价，</w:t>
      </w:r>
    </w:p>
    <w:p w14:paraId="3635149F">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或所报单价、合价或总额价增加了报价范围，则从投标报价中扣除多报的工程子目 报价或工程子目报价中增加了报价范围的部分报价。 </w:t>
      </w:r>
    </w:p>
    <w:p w14:paraId="182F07D7">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3</w:t>
      </w:r>
      <w:r>
        <w:rPr>
          <w:rFonts w:hint="eastAsia" w:ascii="Times New Roman" w:hAnsi="Times New Roman" w:eastAsia="宋体" w:cs="Times New Roman"/>
          <w:sz w:val="24"/>
          <w:lang w:val="en-US" w:eastAsia="zh-CN"/>
        </w:rPr>
        <w:t xml:space="preserve">）当单价与数量的乘积与合价（金额）虽然一致，但投标人修改了该子目的 </w:t>
      </w:r>
    </w:p>
    <w:p w14:paraId="290B6D0F">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工程数量，则其合价按招标人给定的工程数量乘以投标人所报单价予以修正。 </w:t>
      </w:r>
    </w:p>
    <w:p w14:paraId="5C8E8972">
      <w:pPr>
        <w:pageBreakBefore w:val="0"/>
        <w:kinsoku/>
        <w:wordWrap w:val="0"/>
        <w:bidi w:val="0"/>
        <w:spacing w:line="400" w:lineRule="atLeast"/>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3.4.4 </w:t>
      </w:r>
      <w:r>
        <w:rPr>
          <w:rFonts w:hint="eastAsia" w:ascii="Times New Roman" w:hAnsi="Times New Roman" w:eastAsia="宋体" w:cs="Times New Roman"/>
          <w:sz w:val="24"/>
          <w:lang w:val="en-US" w:eastAsia="zh-CN"/>
        </w:rPr>
        <w:t xml:space="preserve">修正后的最终投标报价若超过最高投标限价（如有），评标委员会应否决 </w:t>
      </w:r>
    </w:p>
    <w:p w14:paraId="64AC0567">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其投标。 </w:t>
      </w:r>
    </w:p>
    <w:p w14:paraId="0F265FF8">
      <w:pPr>
        <w:keepNext w:val="0"/>
        <w:keepLines w:val="0"/>
        <w:widowControl/>
        <w:suppressLineNumbers w:val="0"/>
        <w:jc w:val="left"/>
      </w:pPr>
      <w:r>
        <w:rPr>
          <w:rFonts w:hint="default" w:ascii="Calibri" w:hAnsi="Calibri" w:eastAsia="宋体" w:cs="Calibri"/>
          <w:color w:val="000000"/>
          <w:kern w:val="0"/>
          <w:sz w:val="24"/>
          <w:szCs w:val="24"/>
          <w:lang w:val="en-US" w:eastAsia="zh-CN" w:bidi="ar"/>
        </w:rPr>
        <w:t xml:space="preserve">3.5 </w:t>
      </w:r>
      <w:r>
        <w:rPr>
          <w:rFonts w:hint="eastAsia" w:ascii="黑体" w:hAnsi="宋体" w:eastAsia="黑体" w:cs="黑体"/>
          <w:color w:val="000000"/>
          <w:kern w:val="0"/>
          <w:sz w:val="24"/>
          <w:szCs w:val="24"/>
          <w:lang w:val="en-US" w:eastAsia="zh-CN" w:bidi="ar"/>
        </w:rPr>
        <w:t xml:space="preserve">第二个信封详细评审 </w:t>
      </w:r>
    </w:p>
    <w:p w14:paraId="547C0350">
      <w:pPr>
        <w:pageBreakBefore w:val="0"/>
        <w:kinsoku/>
        <w:wordWrap w:val="0"/>
        <w:bidi w:val="0"/>
        <w:spacing w:line="400" w:lineRule="atLeast"/>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3.5.1 </w:t>
      </w:r>
      <w:r>
        <w:rPr>
          <w:rFonts w:hint="eastAsia" w:ascii="Times New Roman" w:hAnsi="Times New Roman" w:eastAsia="宋体" w:cs="Times New Roman"/>
          <w:sz w:val="24"/>
          <w:lang w:val="en-US" w:eastAsia="zh-CN"/>
        </w:rPr>
        <w:t xml:space="preserve">评标委员会按本章第 </w:t>
      </w:r>
      <w:r>
        <w:rPr>
          <w:rFonts w:hint="default" w:ascii="Times New Roman" w:hAnsi="Times New Roman" w:eastAsia="宋体" w:cs="Times New Roman"/>
          <w:sz w:val="24"/>
          <w:lang w:val="en-US" w:eastAsia="zh-CN"/>
        </w:rPr>
        <w:t xml:space="preserve">2.2 </w:t>
      </w:r>
      <w:r>
        <w:rPr>
          <w:rFonts w:hint="eastAsia" w:ascii="Times New Roman" w:hAnsi="Times New Roman" w:eastAsia="宋体" w:cs="Times New Roman"/>
          <w:sz w:val="24"/>
          <w:lang w:val="en-US" w:eastAsia="zh-CN"/>
        </w:rPr>
        <w:t>款规定的量化因素和标准进行价格折算，计算出</w:t>
      </w:r>
    </w:p>
    <w:p w14:paraId="23711817">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评标价，并编制价格比较一览表。 </w:t>
      </w:r>
    </w:p>
    <w:p w14:paraId="28AF5010">
      <w:pPr>
        <w:pageBreakBefore w:val="0"/>
        <w:kinsoku/>
        <w:wordWrap w:val="0"/>
        <w:bidi w:val="0"/>
        <w:spacing w:line="400" w:lineRule="atLeast"/>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3.5.2 </w:t>
      </w:r>
      <w:r>
        <w:rPr>
          <w:rFonts w:hint="eastAsia" w:ascii="Times New Roman" w:hAnsi="Times New Roman" w:eastAsia="宋体" w:cs="Times New Roman"/>
          <w:sz w:val="24"/>
          <w:lang w:val="en-US" w:eastAsia="zh-CN"/>
        </w:rPr>
        <w:t xml:space="preserve">评标委员会发现投标人的报价明显低于其他投标报价，使得其投标报价可 </w:t>
      </w:r>
    </w:p>
    <w:p w14:paraId="5CF908A0">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能低于其个别成本的，应要求该投标人作出书面说明并提供相应的证明材料。投标 人不能合理说明或不能提供相应证明材料的，由评标委员会认定该投标人以低于成 本报价竞标，并否决其投标。 </w:t>
      </w:r>
    </w:p>
    <w:p w14:paraId="3E1181DB">
      <w:pPr>
        <w:keepNext w:val="0"/>
        <w:keepLines w:val="0"/>
        <w:widowControl/>
        <w:suppressLineNumbers w:val="0"/>
        <w:jc w:val="left"/>
      </w:pPr>
      <w:r>
        <w:rPr>
          <w:rFonts w:hint="default" w:ascii="Calibri" w:hAnsi="Calibri" w:eastAsia="宋体" w:cs="Calibri"/>
          <w:color w:val="000000"/>
          <w:kern w:val="0"/>
          <w:sz w:val="24"/>
          <w:szCs w:val="24"/>
          <w:lang w:val="en-US" w:eastAsia="zh-CN" w:bidi="ar"/>
        </w:rPr>
        <w:t xml:space="preserve">3.6 </w:t>
      </w:r>
      <w:r>
        <w:rPr>
          <w:rFonts w:hint="eastAsia" w:ascii="黑体" w:hAnsi="宋体" w:eastAsia="黑体" w:cs="黑体"/>
          <w:color w:val="000000"/>
          <w:kern w:val="0"/>
          <w:sz w:val="24"/>
          <w:szCs w:val="24"/>
          <w:lang w:val="en-US" w:eastAsia="zh-CN" w:bidi="ar"/>
        </w:rPr>
        <w:t xml:space="preserve">投标文件相关信息的核查 </w:t>
      </w:r>
    </w:p>
    <w:p w14:paraId="065CC50B">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3.6.1 </w:t>
      </w:r>
      <w:r>
        <w:rPr>
          <w:rFonts w:hint="eastAsia" w:ascii="Times New Roman" w:hAnsi="Times New Roman" w:eastAsia="宋体" w:cs="Times New Roman"/>
          <w:sz w:val="24"/>
          <w:lang w:val="en-US" w:eastAsia="zh-CN"/>
        </w:rPr>
        <w:t xml:space="preserve">在评标过程中，评标委员会应查询交通运输主管部门“公路建设市场信用 </w:t>
      </w:r>
    </w:p>
    <w:p w14:paraId="1D0A4610">
      <w:pPr>
        <w:pageBreakBefore w:val="0"/>
        <w:kinsoku/>
        <w:wordWrap w:val="0"/>
        <w:bidi w:val="0"/>
        <w:spacing w:line="400" w:lineRule="atLeas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信息管理系统”，对投标人的资质、业绩、主要人员资历和目前在岗情况、信用等级 等信息进行核实。若投标文件载明的信息与交通运输主管部门“公路建设市场信用 </w:t>
      </w:r>
    </w:p>
    <w:p w14:paraId="12E417B5">
      <w:pPr>
        <w:pageBreakBefore w:val="0"/>
        <w:kinsoku/>
        <w:wordWrap w:val="0"/>
        <w:bidi w:val="0"/>
        <w:spacing w:line="400" w:lineRule="atLeas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信息管理系统”发布的信息不符，使得投标人的资格条件不符合招标文件规定的，</w:t>
      </w:r>
    </w:p>
    <w:p w14:paraId="67EE5275">
      <w:pPr>
        <w:pageBreakBefore w:val="0"/>
        <w:kinsoku/>
        <w:wordWrap w:val="0"/>
        <w:bidi w:val="0"/>
        <w:spacing w:line="400" w:lineRule="atLeas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评标委员会应否决其投标。 </w:t>
      </w:r>
    </w:p>
    <w:p w14:paraId="01FDD00B">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3.6.2 </w:t>
      </w:r>
      <w:r>
        <w:rPr>
          <w:rFonts w:hint="eastAsia" w:ascii="Times New Roman" w:hAnsi="Times New Roman" w:eastAsia="宋体" w:cs="Times New Roman"/>
          <w:sz w:val="24"/>
          <w:lang w:val="en-US" w:eastAsia="zh-CN"/>
        </w:rPr>
        <w:t xml:space="preserve">评标委员会应对在评标过程中发现的投标人与投标人之间、投标人与招标 </w:t>
      </w:r>
    </w:p>
    <w:p w14:paraId="5BA6C079">
      <w:pPr>
        <w:pageBreakBefore w:val="0"/>
        <w:kinsoku/>
        <w:wordWrap w:val="0"/>
        <w:bidi w:val="0"/>
        <w:spacing w:line="400" w:lineRule="atLeas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人之间存在的串通投标的情形进行评审和认定。投标人存在串通投标、弄虚作假、</w:t>
      </w:r>
    </w:p>
    <w:p w14:paraId="263FFC3B">
      <w:pPr>
        <w:pageBreakBefore w:val="0"/>
        <w:kinsoku/>
        <w:wordWrap w:val="0"/>
        <w:bidi w:val="0"/>
        <w:spacing w:line="400" w:lineRule="atLeas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行贿等违法行为的，评标委员会应否决其投标。 </w:t>
      </w:r>
    </w:p>
    <w:p w14:paraId="256D8CB7">
      <w:pPr>
        <w:pageBreakBefore w:val="0"/>
        <w:kinsoku/>
        <w:wordWrap w:val="0"/>
        <w:bidi w:val="0"/>
        <w:spacing w:line="400" w:lineRule="atLeas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1</w:t>
      </w:r>
      <w:r>
        <w:rPr>
          <w:rFonts w:hint="eastAsia" w:ascii="Times New Roman" w:hAnsi="Times New Roman" w:eastAsia="宋体" w:cs="Times New Roman"/>
          <w:sz w:val="24"/>
          <w:lang w:val="en-US" w:eastAsia="zh-CN"/>
        </w:rPr>
        <w:t xml:space="preserve">）有下列情形之一的，属于投标人相互串通投标： </w:t>
      </w:r>
    </w:p>
    <w:p w14:paraId="34224F67">
      <w:pPr>
        <w:pageBreakBefore w:val="0"/>
        <w:kinsoku/>
        <w:wordWrap w:val="0"/>
        <w:bidi w:val="0"/>
        <w:spacing w:line="400" w:lineRule="atLeast"/>
      </w:pPr>
      <w:r>
        <w:rPr>
          <w:rFonts w:hint="default" w:ascii="Times New Roman" w:hAnsi="Times New Roman" w:eastAsia="宋体" w:cs="Times New Roman"/>
          <w:sz w:val="24"/>
          <w:lang w:val="en-US" w:eastAsia="zh-CN"/>
        </w:rPr>
        <w:t>a.</w:t>
      </w:r>
      <w:r>
        <w:rPr>
          <w:rFonts w:hint="eastAsia" w:ascii="Times New Roman" w:hAnsi="Times New Roman" w:eastAsia="宋体" w:cs="Times New Roman"/>
          <w:sz w:val="24"/>
          <w:lang w:val="en-US" w:eastAsia="zh-CN"/>
        </w:rPr>
        <w:t>投标人之间协商投标报价等投标文件的实质性内容；</w:t>
      </w:r>
      <w:r>
        <w:rPr>
          <w:rFonts w:hint="eastAsia" w:ascii="宋体" w:hAnsi="宋体" w:eastAsia="宋体" w:cs="宋体"/>
          <w:color w:val="000000"/>
          <w:kern w:val="0"/>
          <w:sz w:val="24"/>
          <w:szCs w:val="24"/>
          <w:lang w:val="en-US" w:eastAsia="zh-CN" w:bidi="ar"/>
        </w:rPr>
        <w:t xml:space="preserve"> </w:t>
      </w:r>
    </w:p>
    <w:p w14:paraId="36022AAB">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b.</w:t>
      </w:r>
      <w:r>
        <w:rPr>
          <w:rFonts w:hint="eastAsia" w:ascii="Times New Roman" w:hAnsi="Times New Roman" w:eastAsia="宋体" w:cs="Times New Roman"/>
          <w:sz w:val="24"/>
          <w:lang w:val="en-US" w:eastAsia="zh-CN"/>
        </w:rPr>
        <w:t xml:space="preserve">投标人之间约定中标人； </w:t>
      </w:r>
    </w:p>
    <w:p w14:paraId="1F96A73A">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c.</w:t>
      </w:r>
      <w:r>
        <w:rPr>
          <w:rFonts w:hint="eastAsia" w:ascii="Times New Roman" w:hAnsi="Times New Roman" w:eastAsia="宋体" w:cs="Times New Roman"/>
          <w:sz w:val="24"/>
          <w:lang w:val="en-US" w:eastAsia="zh-CN"/>
        </w:rPr>
        <w:t xml:space="preserve">投标人之间约定部分投标人放弃投标或中标； </w:t>
      </w:r>
    </w:p>
    <w:p w14:paraId="19737BAB">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d.</w:t>
      </w:r>
      <w:r>
        <w:rPr>
          <w:rFonts w:hint="eastAsia" w:ascii="Times New Roman" w:hAnsi="Times New Roman" w:eastAsia="宋体" w:cs="Times New Roman"/>
          <w:sz w:val="24"/>
          <w:lang w:val="en-US" w:eastAsia="zh-CN"/>
        </w:rPr>
        <w:t xml:space="preserve">属于同一集团、协会、商会等组织成员的投标人按照该组织要求协同投标； </w:t>
      </w:r>
    </w:p>
    <w:p w14:paraId="4937F91E">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e.</w:t>
      </w:r>
      <w:r>
        <w:rPr>
          <w:rFonts w:hint="eastAsia" w:ascii="Times New Roman" w:hAnsi="Times New Roman" w:eastAsia="宋体" w:cs="Times New Roman"/>
          <w:sz w:val="24"/>
          <w:lang w:val="en-US" w:eastAsia="zh-CN"/>
        </w:rPr>
        <w:t xml:space="preserve">投标人之间为谋取中标或排斥特定投标人而采取的其他联合行动。 </w:t>
      </w:r>
    </w:p>
    <w:p w14:paraId="7B38CDFB">
      <w:pPr>
        <w:pageBreakBefore w:val="0"/>
        <w:kinsoku/>
        <w:wordWrap w:val="0"/>
        <w:bidi w:val="0"/>
        <w:spacing w:line="400" w:lineRule="atLeas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2</w:t>
      </w:r>
      <w:r>
        <w:rPr>
          <w:rFonts w:hint="eastAsia" w:ascii="Times New Roman" w:hAnsi="Times New Roman" w:eastAsia="宋体" w:cs="Times New Roman"/>
          <w:sz w:val="24"/>
          <w:lang w:val="en-US" w:eastAsia="zh-CN"/>
        </w:rPr>
        <w:t xml:space="preserve">）有下列情形之一的，视为投标人相互串通投标： </w:t>
      </w:r>
    </w:p>
    <w:p w14:paraId="6BF6386D">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a.</w:t>
      </w:r>
      <w:r>
        <w:rPr>
          <w:rFonts w:hint="eastAsia" w:ascii="Times New Roman" w:hAnsi="Times New Roman" w:eastAsia="宋体" w:cs="Times New Roman"/>
          <w:sz w:val="24"/>
          <w:lang w:val="en-US" w:eastAsia="zh-CN"/>
        </w:rPr>
        <w:t xml:space="preserve">不同投标人的投标文件由同一单位或个人编制； </w:t>
      </w:r>
    </w:p>
    <w:p w14:paraId="2BC61C88">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b.</w:t>
      </w:r>
      <w:r>
        <w:rPr>
          <w:rFonts w:hint="eastAsia" w:ascii="Times New Roman" w:hAnsi="Times New Roman" w:eastAsia="宋体" w:cs="Times New Roman"/>
          <w:sz w:val="24"/>
          <w:lang w:val="en-US" w:eastAsia="zh-CN"/>
        </w:rPr>
        <w:t xml:space="preserve">不同投标人委托同一单位或个人办理投标事宜； </w:t>
      </w:r>
    </w:p>
    <w:p w14:paraId="7B59FD17">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c.</w:t>
      </w:r>
      <w:r>
        <w:rPr>
          <w:rFonts w:hint="eastAsia" w:ascii="Times New Roman" w:hAnsi="Times New Roman" w:eastAsia="宋体" w:cs="Times New Roman"/>
          <w:sz w:val="24"/>
          <w:lang w:val="en-US" w:eastAsia="zh-CN"/>
        </w:rPr>
        <w:t xml:space="preserve">不同投标人的投标文件载明的项目管理成员为同一人； </w:t>
      </w:r>
    </w:p>
    <w:p w14:paraId="09CFFCED">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d.</w:t>
      </w:r>
      <w:r>
        <w:rPr>
          <w:rFonts w:hint="eastAsia" w:ascii="Times New Roman" w:hAnsi="Times New Roman" w:eastAsia="宋体" w:cs="Times New Roman"/>
          <w:sz w:val="24"/>
          <w:lang w:val="en-US" w:eastAsia="zh-CN"/>
        </w:rPr>
        <w:t xml:space="preserve">不同投标人的投标文件异常一致或投标报价呈规律性差异； </w:t>
      </w:r>
    </w:p>
    <w:p w14:paraId="5C7FF8E0">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e.</w:t>
      </w:r>
      <w:r>
        <w:rPr>
          <w:rFonts w:hint="eastAsia" w:ascii="Times New Roman" w:hAnsi="Times New Roman" w:eastAsia="宋体" w:cs="Times New Roman"/>
          <w:sz w:val="24"/>
          <w:lang w:val="en-US" w:eastAsia="zh-CN"/>
        </w:rPr>
        <w:t xml:space="preserve">不同投标人的投标文件相互混装； </w:t>
      </w:r>
    </w:p>
    <w:p w14:paraId="602B81A8">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f.</w:t>
      </w:r>
      <w:r>
        <w:rPr>
          <w:rFonts w:hint="eastAsia" w:ascii="Times New Roman" w:hAnsi="Times New Roman" w:eastAsia="宋体" w:cs="Times New Roman"/>
          <w:sz w:val="24"/>
          <w:lang w:val="en-US" w:eastAsia="zh-CN"/>
        </w:rPr>
        <w:t xml:space="preserve">不同投标人的投标保证金从同一单位或个人的账户转出。 </w:t>
      </w:r>
    </w:p>
    <w:p w14:paraId="68D3045F">
      <w:pPr>
        <w:pageBreakBefore w:val="0"/>
        <w:kinsoku/>
        <w:wordWrap w:val="0"/>
        <w:bidi w:val="0"/>
        <w:spacing w:line="400" w:lineRule="atLeas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3</w:t>
      </w:r>
      <w:r>
        <w:rPr>
          <w:rFonts w:hint="eastAsia" w:ascii="Times New Roman" w:hAnsi="Times New Roman" w:eastAsia="宋体" w:cs="Times New Roman"/>
          <w:sz w:val="24"/>
          <w:lang w:val="en-US" w:eastAsia="zh-CN"/>
        </w:rPr>
        <w:t xml:space="preserve">）有下列情形之一的，属于招标人与投标人串通投标： </w:t>
      </w:r>
    </w:p>
    <w:p w14:paraId="5062448E">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a.</w:t>
      </w:r>
      <w:r>
        <w:rPr>
          <w:rFonts w:hint="eastAsia" w:ascii="Times New Roman" w:hAnsi="Times New Roman" w:eastAsia="宋体" w:cs="Times New Roman"/>
          <w:sz w:val="24"/>
          <w:lang w:val="en-US" w:eastAsia="zh-CN"/>
        </w:rPr>
        <w:t>招标人在开标前开启投标文件并将有关信息泄露给其他投标人</w:t>
      </w:r>
      <w:r>
        <w:rPr>
          <w:rFonts w:hint="default" w:ascii="Times New Roman" w:hAnsi="Times New Roman" w:eastAsia="宋体" w:cs="Times New Roman"/>
          <w:sz w:val="24"/>
          <w:lang w:val="en-US" w:eastAsia="zh-CN"/>
        </w:rPr>
        <w:t xml:space="preserve">; </w:t>
      </w:r>
    </w:p>
    <w:p w14:paraId="699C097F">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b.</w:t>
      </w:r>
      <w:r>
        <w:rPr>
          <w:rFonts w:hint="eastAsia" w:ascii="Times New Roman" w:hAnsi="Times New Roman" w:eastAsia="宋体" w:cs="Times New Roman"/>
          <w:sz w:val="24"/>
          <w:lang w:val="en-US" w:eastAsia="zh-CN"/>
        </w:rPr>
        <w:t xml:space="preserve">招标人直接或间接向投标人泄露标底、评标委员会成员等信息； </w:t>
      </w:r>
    </w:p>
    <w:p w14:paraId="532B4BF8">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c.</w:t>
      </w:r>
      <w:r>
        <w:rPr>
          <w:rFonts w:hint="eastAsia" w:ascii="Times New Roman" w:hAnsi="Times New Roman" w:eastAsia="宋体" w:cs="Times New Roman"/>
          <w:sz w:val="24"/>
          <w:lang w:val="en-US" w:eastAsia="zh-CN"/>
        </w:rPr>
        <w:t xml:space="preserve">招标人明示或暗示投标人压低或抬高投标报价； </w:t>
      </w:r>
    </w:p>
    <w:p w14:paraId="0BC8D1D4">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d.</w:t>
      </w:r>
      <w:r>
        <w:rPr>
          <w:rFonts w:hint="eastAsia" w:ascii="Times New Roman" w:hAnsi="Times New Roman" w:eastAsia="宋体" w:cs="Times New Roman"/>
          <w:sz w:val="24"/>
          <w:lang w:val="en-US" w:eastAsia="zh-CN"/>
        </w:rPr>
        <w:t xml:space="preserve">招标人授意投标人撤换、修改投标文件； </w:t>
      </w:r>
    </w:p>
    <w:p w14:paraId="6CC0D037">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e.</w:t>
      </w:r>
      <w:r>
        <w:rPr>
          <w:rFonts w:hint="eastAsia" w:ascii="Times New Roman" w:hAnsi="Times New Roman" w:eastAsia="宋体" w:cs="Times New Roman"/>
          <w:sz w:val="24"/>
          <w:lang w:val="en-US" w:eastAsia="zh-CN"/>
        </w:rPr>
        <w:t xml:space="preserve">招标人明示或暗示投标人为特定投标人中标提供方便； </w:t>
      </w:r>
    </w:p>
    <w:p w14:paraId="3D5F0E69">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f.</w:t>
      </w:r>
      <w:r>
        <w:rPr>
          <w:rFonts w:hint="eastAsia" w:ascii="Times New Roman" w:hAnsi="Times New Roman" w:eastAsia="宋体" w:cs="Times New Roman"/>
          <w:sz w:val="24"/>
          <w:lang w:val="en-US" w:eastAsia="zh-CN"/>
        </w:rPr>
        <w:t xml:space="preserve">招标人与投标人为谋求特定投标人中标而采取的其他串通行为。 </w:t>
      </w:r>
    </w:p>
    <w:p w14:paraId="6E35EF55">
      <w:pPr>
        <w:pageBreakBefore w:val="0"/>
        <w:kinsoku/>
        <w:wordWrap w:val="0"/>
        <w:bidi w:val="0"/>
        <w:spacing w:line="400" w:lineRule="atLeas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4</w:t>
      </w:r>
      <w:r>
        <w:rPr>
          <w:rFonts w:hint="eastAsia" w:ascii="Times New Roman" w:hAnsi="Times New Roman" w:eastAsia="宋体" w:cs="Times New Roman"/>
          <w:sz w:val="24"/>
          <w:lang w:val="en-US" w:eastAsia="zh-CN"/>
        </w:rPr>
        <w:t xml:space="preserve">）投标人有下列情形之一的，属于弄虚作假的行为： </w:t>
      </w:r>
    </w:p>
    <w:p w14:paraId="1CC32413">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a.</w:t>
      </w:r>
      <w:r>
        <w:rPr>
          <w:rFonts w:hint="eastAsia" w:ascii="Times New Roman" w:hAnsi="Times New Roman" w:eastAsia="宋体" w:cs="Times New Roman"/>
          <w:sz w:val="24"/>
          <w:lang w:val="en-US" w:eastAsia="zh-CN"/>
        </w:rPr>
        <w:t xml:space="preserve">使用通过受让或租借等方式获取的资格、资质证书投标； </w:t>
      </w:r>
    </w:p>
    <w:p w14:paraId="4966B2CA">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b.</w:t>
      </w:r>
      <w:r>
        <w:rPr>
          <w:rFonts w:hint="eastAsia" w:ascii="Times New Roman" w:hAnsi="Times New Roman" w:eastAsia="宋体" w:cs="Times New Roman"/>
          <w:sz w:val="24"/>
          <w:lang w:val="en-US" w:eastAsia="zh-CN"/>
        </w:rPr>
        <w:t xml:space="preserve">使用伪造、变造的许可证件； </w:t>
      </w:r>
    </w:p>
    <w:p w14:paraId="3DA3424B">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c.</w:t>
      </w:r>
      <w:r>
        <w:rPr>
          <w:rFonts w:hint="eastAsia" w:ascii="Times New Roman" w:hAnsi="Times New Roman" w:eastAsia="宋体" w:cs="Times New Roman"/>
          <w:sz w:val="24"/>
          <w:lang w:val="en-US" w:eastAsia="zh-CN"/>
        </w:rPr>
        <w:t xml:space="preserve">提供虚假的财务状况或业绩； </w:t>
      </w:r>
    </w:p>
    <w:p w14:paraId="74E5BF3A">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d.</w:t>
      </w:r>
      <w:r>
        <w:rPr>
          <w:rFonts w:hint="eastAsia" w:ascii="Times New Roman" w:hAnsi="Times New Roman" w:eastAsia="宋体" w:cs="Times New Roman"/>
          <w:sz w:val="24"/>
          <w:lang w:val="en-US" w:eastAsia="zh-CN"/>
        </w:rPr>
        <w:t xml:space="preserve">提供虚假的项目负责人或主要技术人员简历、劳动关系证明； </w:t>
      </w:r>
    </w:p>
    <w:p w14:paraId="35CD95C2">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67e.</w:t>
      </w:r>
      <w:r>
        <w:rPr>
          <w:rFonts w:hint="eastAsia" w:ascii="Times New Roman" w:hAnsi="Times New Roman" w:eastAsia="宋体" w:cs="Times New Roman"/>
          <w:sz w:val="24"/>
          <w:lang w:val="en-US" w:eastAsia="zh-CN"/>
        </w:rPr>
        <w:t xml:space="preserve">提供虚假的信用状况； </w:t>
      </w:r>
    </w:p>
    <w:p w14:paraId="6B3A56E5">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f.</w:t>
      </w:r>
      <w:r>
        <w:rPr>
          <w:rFonts w:hint="eastAsia" w:ascii="Times New Roman" w:hAnsi="Times New Roman" w:eastAsia="宋体" w:cs="Times New Roman"/>
          <w:sz w:val="24"/>
          <w:lang w:val="en-US" w:eastAsia="zh-CN"/>
        </w:rPr>
        <w:t xml:space="preserve">其他弄虚作假的行为。 </w:t>
      </w:r>
    </w:p>
    <w:p w14:paraId="303C23FC">
      <w:pPr>
        <w:keepNext w:val="0"/>
        <w:keepLines w:val="0"/>
        <w:widowControl/>
        <w:suppressLineNumbers w:val="0"/>
        <w:jc w:val="left"/>
      </w:pPr>
      <w:r>
        <w:rPr>
          <w:rFonts w:hint="default" w:ascii="Calibri" w:hAnsi="Calibri" w:eastAsia="宋体" w:cs="Calibri"/>
          <w:color w:val="000000"/>
          <w:kern w:val="0"/>
          <w:sz w:val="24"/>
          <w:szCs w:val="24"/>
          <w:lang w:val="en-US" w:eastAsia="zh-CN" w:bidi="ar"/>
        </w:rPr>
        <w:t xml:space="preserve">3.7 </w:t>
      </w:r>
      <w:r>
        <w:rPr>
          <w:rFonts w:hint="eastAsia" w:ascii="黑体" w:hAnsi="宋体" w:eastAsia="黑体" w:cs="黑体"/>
          <w:color w:val="000000"/>
          <w:kern w:val="0"/>
          <w:sz w:val="24"/>
          <w:szCs w:val="24"/>
          <w:lang w:val="en-US" w:eastAsia="zh-CN" w:bidi="ar"/>
        </w:rPr>
        <w:t xml:space="preserve">投标文件的澄清和说明 </w:t>
      </w:r>
    </w:p>
    <w:p w14:paraId="65E46695">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3.7.1 </w:t>
      </w:r>
      <w:r>
        <w:rPr>
          <w:rFonts w:hint="eastAsia" w:ascii="Times New Roman" w:hAnsi="Times New Roman" w:eastAsia="宋体" w:cs="Times New Roman"/>
          <w:sz w:val="24"/>
          <w:lang w:val="en-US" w:eastAsia="zh-CN"/>
        </w:rPr>
        <w:t xml:space="preserve">在评标过程中，评标委员会可以书面形式要求投标人对投标文件中含义不 </w:t>
      </w:r>
    </w:p>
    <w:p w14:paraId="40FBF44F">
      <w:pPr>
        <w:pageBreakBefore w:val="0"/>
        <w:kinsoku/>
        <w:wordWrap w:val="0"/>
        <w:bidi w:val="0"/>
        <w:spacing w:line="400" w:lineRule="atLeas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明确的内容、明显文字或计算错误进行书面澄清或说明。评标委员会不接受投标人主动提出的澄清、说明。投标人不按评标委员会要求澄清或说明的，评标委员会应否决其投标。 </w:t>
      </w:r>
    </w:p>
    <w:p w14:paraId="427C67D1">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3.7.2 </w:t>
      </w:r>
      <w:r>
        <w:rPr>
          <w:rFonts w:hint="eastAsia" w:ascii="Times New Roman" w:hAnsi="Times New Roman" w:eastAsia="宋体" w:cs="Times New Roman"/>
          <w:sz w:val="24"/>
          <w:lang w:val="en-US" w:eastAsia="zh-CN"/>
        </w:rPr>
        <w:t xml:space="preserve">澄清和说明不得超出投标文件的范围或改变投标文件的实质性内容（算术 </w:t>
      </w:r>
    </w:p>
    <w:p w14:paraId="3EF17318">
      <w:pPr>
        <w:pageBreakBefore w:val="0"/>
        <w:kinsoku/>
        <w:wordWrap w:val="0"/>
        <w:bidi w:val="0"/>
        <w:spacing w:line="400" w:lineRule="atLeas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性错误的修正除外）。投标人的书面澄清、说明属于投标文件的组成部分。 </w:t>
      </w:r>
    </w:p>
    <w:p w14:paraId="6B273DFA">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3.7.3 </w:t>
      </w:r>
      <w:r>
        <w:rPr>
          <w:rFonts w:hint="eastAsia" w:ascii="Times New Roman" w:hAnsi="Times New Roman" w:eastAsia="宋体" w:cs="Times New Roman"/>
          <w:sz w:val="24"/>
          <w:lang w:val="en-US" w:eastAsia="zh-CN"/>
        </w:rPr>
        <w:t>评标委员会不得暗示或诱导投标人作出澄清、说明，对投标人提交的澄清、</w:t>
      </w:r>
    </w:p>
    <w:p w14:paraId="0B746F3B">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说明有疑问的，可以要求投标人进一步澄清或说明，直至满足评标委员会的要求。</w:t>
      </w:r>
    </w:p>
    <w:p w14:paraId="4046131C">
      <w:pPr>
        <w:pageBreakBefore w:val="0"/>
        <w:kinsoku/>
        <w:wordWrap w:val="0"/>
        <w:bidi w:val="0"/>
        <w:spacing w:line="400" w:lineRule="atLeas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lang w:val="en-US" w:eastAsia="zh-CN"/>
        </w:rPr>
        <w:t xml:space="preserve">3.7.4 </w:t>
      </w:r>
      <w:r>
        <w:rPr>
          <w:rFonts w:hint="eastAsia" w:ascii="Times New Roman" w:hAnsi="Times New Roman" w:eastAsia="宋体" w:cs="Times New Roman"/>
          <w:sz w:val="24"/>
          <w:lang w:val="en-US" w:eastAsia="zh-CN"/>
        </w:rPr>
        <w:t xml:space="preserve">凡超出招标文件规定的或给发包人带来未曾要求的利益的变化、偏差或其 他因素在评标时不予考虑。 </w:t>
      </w:r>
    </w:p>
    <w:p w14:paraId="05195821">
      <w:pPr>
        <w:keepNext w:val="0"/>
        <w:keepLines w:val="0"/>
        <w:widowControl/>
        <w:suppressLineNumbers w:val="0"/>
        <w:jc w:val="left"/>
      </w:pPr>
      <w:r>
        <w:rPr>
          <w:rFonts w:hint="default" w:ascii="Calibri" w:hAnsi="Calibri" w:eastAsia="宋体" w:cs="Calibri"/>
          <w:color w:val="000000"/>
          <w:kern w:val="0"/>
          <w:sz w:val="24"/>
          <w:szCs w:val="24"/>
          <w:lang w:val="en-US" w:eastAsia="zh-CN" w:bidi="ar"/>
        </w:rPr>
        <w:t xml:space="preserve">3.8 </w:t>
      </w:r>
      <w:r>
        <w:rPr>
          <w:rFonts w:hint="eastAsia" w:ascii="黑体" w:hAnsi="宋体" w:eastAsia="黑体" w:cs="黑体"/>
          <w:color w:val="000000"/>
          <w:kern w:val="0"/>
          <w:sz w:val="24"/>
          <w:szCs w:val="24"/>
          <w:lang w:val="en-US" w:eastAsia="zh-CN" w:bidi="ar"/>
        </w:rPr>
        <w:t xml:space="preserve">不得否决投标的情形 </w:t>
      </w:r>
    </w:p>
    <w:p w14:paraId="70CAF19F">
      <w:pPr>
        <w:pageBreakBefore w:val="0"/>
        <w:kinsoku/>
        <w:wordWrap w:val="0"/>
        <w:bidi w:val="0"/>
        <w:spacing w:line="400" w:lineRule="atLeas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投标文件存在第二章“投标人须知”第 </w:t>
      </w:r>
      <w:r>
        <w:rPr>
          <w:rFonts w:hint="default" w:ascii="Times New Roman" w:hAnsi="Times New Roman" w:eastAsia="宋体" w:cs="Times New Roman"/>
          <w:sz w:val="24"/>
          <w:lang w:val="en-US" w:eastAsia="zh-CN"/>
        </w:rPr>
        <w:t xml:space="preserve">1.12.3 </w:t>
      </w:r>
      <w:r>
        <w:rPr>
          <w:rFonts w:hint="eastAsia" w:ascii="Times New Roman" w:hAnsi="Times New Roman" w:eastAsia="宋体" w:cs="Times New Roman"/>
          <w:sz w:val="24"/>
          <w:lang w:val="en-US" w:eastAsia="zh-CN"/>
        </w:rPr>
        <w:t>项所列情形的，均视为细微偏差，</w:t>
      </w:r>
    </w:p>
    <w:p w14:paraId="20424F3C">
      <w:pPr>
        <w:pageBreakBefore w:val="0"/>
        <w:kinsoku/>
        <w:wordWrap w:val="0"/>
        <w:bidi w:val="0"/>
        <w:spacing w:line="400" w:lineRule="atLeas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评标委员会不得否决投标人的投标，应按照第二章“投标人须知”第 </w:t>
      </w:r>
      <w:r>
        <w:rPr>
          <w:rFonts w:hint="default" w:ascii="Times New Roman" w:hAnsi="Times New Roman" w:eastAsia="宋体" w:cs="Times New Roman"/>
          <w:sz w:val="24"/>
          <w:lang w:val="en-US" w:eastAsia="zh-CN"/>
        </w:rPr>
        <w:t xml:space="preserve">1.12.4 </w:t>
      </w:r>
      <w:r>
        <w:rPr>
          <w:rFonts w:hint="eastAsia" w:ascii="Times New Roman" w:hAnsi="Times New Roman" w:eastAsia="宋体" w:cs="Times New Roman"/>
          <w:sz w:val="24"/>
          <w:lang w:val="en-US" w:eastAsia="zh-CN"/>
        </w:rPr>
        <w:t>项规</w:t>
      </w:r>
      <w:r>
        <w:rPr>
          <w:rFonts w:hint="eastAsia" w:ascii="Times New Roman" w:hAnsi="Times New Roman" w:cs="Times New Roman"/>
          <w:sz w:val="24"/>
          <w:lang w:val="en-US" w:eastAsia="zh-CN"/>
        </w:rPr>
        <w:t>定</w:t>
      </w:r>
      <w:r>
        <w:rPr>
          <w:rFonts w:hint="eastAsia" w:ascii="Times New Roman" w:hAnsi="Times New Roman" w:eastAsia="宋体" w:cs="Times New Roman"/>
          <w:sz w:val="24"/>
          <w:lang w:val="en-US" w:eastAsia="zh-CN"/>
        </w:rPr>
        <w:t xml:space="preserve">的原则处理。 </w:t>
      </w:r>
    </w:p>
    <w:p w14:paraId="068F9584">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3.9 </w:t>
      </w:r>
      <w:r>
        <w:rPr>
          <w:rFonts w:hint="eastAsia" w:ascii="Times New Roman" w:hAnsi="Times New Roman" w:eastAsia="宋体" w:cs="Times New Roman"/>
          <w:sz w:val="24"/>
          <w:lang w:val="en-US" w:eastAsia="zh-CN"/>
        </w:rPr>
        <w:t xml:space="preserve">评标结果 </w:t>
      </w:r>
    </w:p>
    <w:p w14:paraId="7DA8AC3B">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3.9.1 </w:t>
      </w:r>
      <w:r>
        <w:rPr>
          <w:rFonts w:hint="eastAsia" w:ascii="Times New Roman" w:hAnsi="Times New Roman" w:eastAsia="宋体" w:cs="Times New Roman"/>
          <w:sz w:val="24"/>
          <w:lang w:val="en-US" w:eastAsia="zh-CN"/>
        </w:rPr>
        <w:t xml:space="preserve">除第二章“投标人须知”前附表授权直接确定中标人外，评标委员会按照 </w:t>
      </w:r>
    </w:p>
    <w:p w14:paraId="581928BC">
      <w:pPr>
        <w:pageBreakBefore w:val="0"/>
        <w:kinsoku/>
        <w:wordWrap w:val="0"/>
        <w:bidi w:val="0"/>
        <w:spacing w:line="400" w:lineRule="atLeas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评标价由低到高的顺序推荐中标候选人，并标明排序。 </w:t>
      </w:r>
    </w:p>
    <w:p w14:paraId="6D088C38">
      <w:pPr>
        <w:pageBreakBefore w:val="0"/>
        <w:kinsoku/>
        <w:wordWrap w:val="0"/>
        <w:bidi w:val="0"/>
        <w:spacing w:line="400" w:lineRule="atLeas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3.9.2 </w:t>
      </w:r>
      <w:r>
        <w:rPr>
          <w:rFonts w:hint="eastAsia" w:ascii="Times New Roman" w:hAnsi="Times New Roman" w:eastAsia="宋体" w:cs="Times New Roman"/>
          <w:sz w:val="24"/>
          <w:lang w:val="en-US" w:eastAsia="zh-CN"/>
        </w:rPr>
        <w:t>评标委员会完成评标后，应向招标人提交评标报告</w:t>
      </w:r>
      <w:r>
        <w:rPr>
          <w:rFonts w:hint="default" w:ascii="Times New Roman" w:hAnsi="Times New Roman" w:eastAsia="宋体" w:cs="Times New Roman"/>
          <w:sz w:val="24"/>
          <w:lang w:val="en-US" w:eastAsia="zh-CN"/>
        </w:rPr>
        <w:t>。</w:t>
      </w:r>
    </w:p>
    <w:p w14:paraId="212FD533">
      <w:pPr>
        <w:pageBreakBefore w:val="0"/>
        <w:kinsoku/>
        <w:wordWrap w:val="0"/>
        <w:bidi w:val="0"/>
        <w:spacing w:line="400" w:lineRule="atLeast"/>
        <w:rPr>
          <w:rFonts w:hint="default" w:ascii="Times New Roman" w:hAnsi="Times New Roman" w:eastAsia="宋体" w:cs="Times New Roman"/>
          <w:sz w:val="24"/>
          <w:lang w:val="en-US" w:eastAsia="zh-CN"/>
        </w:rPr>
      </w:pPr>
    </w:p>
    <w:p w14:paraId="6A4D2062">
      <w:pPr>
        <w:pageBreakBefore w:val="0"/>
        <w:kinsoku/>
        <w:wordWrap w:val="0"/>
        <w:bidi w:val="0"/>
        <w:spacing w:line="440" w:lineRule="exact"/>
        <w:jc w:val="both"/>
        <w:rPr>
          <w:rFonts w:hint="default" w:ascii="Times New Roman" w:hAnsi="Times New Roman" w:eastAsia="黑体" w:cs="Times New Roman"/>
          <w:sz w:val="29"/>
          <w:szCs w:val="29"/>
        </w:rPr>
      </w:pPr>
    </w:p>
    <w:p w14:paraId="691C9D2F">
      <w:pPr>
        <w:pageBreakBefore w:val="0"/>
        <w:kinsoku/>
        <w:wordWrap w:val="0"/>
        <w:bidi w:val="0"/>
        <w:spacing w:line="440" w:lineRule="exact"/>
        <w:jc w:val="center"/>
        <w:rPr>
          <w:rFonts w:hint="default" w:ascii="Times New Roman" w:hAnsi="Times New Roman" w:eastAsia="黑体" w:cs="Times New Roman"/>
          <w:sz w:val="29"/>
          <w:szCs w:val="29"/>
        </w:rPr>
      </w:pPr>
    </w:p>
    <w:p w14:paraId="62F8A776">
      <w:pPr>
        <w:pageBreakBefore w:val="0"/>
        <w:kinsoku/>
        <w:wordWrap w:val="0"/>
        <w:bidi w:val="0"/>
        <w:spacing w:line="440" w:lineRule="exact"/>
        <w:jc w:val="center"/>
        <w:rPr>
          <w:rFonts w:hint="default" w:ascii="Times New Roman" w:hAnsi="Times New Roman" w:eastAsia="黑体" w:cs="Times New Roman"/>
          <w:sz w:val="29"/>
          <w:szCs w:val="29"/>
        </w:rPr>
      </w:pPr>
    </w:p>
    <w:p w14:paraId="47F35C19">
      <w:pPr>
        <w:pageBreakBefore w:val="0"/>
        <w:kinsoku/>
        <w:wordWrap w:val="0"/>
        <w:bidi w:val="0"/>
        <w:spacing w:line="440" w:lineRule="exact"/>
        <w:jc w:val="center"/>
        <w:rPr>
          <w:rFonts w:hint="default" w:ascii="Times New Roman" w:hAnsi="Times New Roman" w:eastAsia="黑体" w:cs="Times New Roman"/>
          <w:sz w:val="29"/>
          <w:szCs w:val="29"/>
        </w:rPr>
      </w:pPr>
    </w:p>
    <w:p w14:paraId="0E2EA123">
      <w:pPr>
        <w:pageBreakBefore w:val="0"/>
        <w:kinsoku/>
        <w:wordWrap w:val="0"/>
        <w:bidi w:val="0"/>
        <w:spacing w:line="440" w:lineRule="exact"/>
        <w:jc w:val="center"/>
        <w:rPr>
          <w:rFonts w:hint="default" w:ascii="Times New Roman" w:hAnsi="Times New Roman" w:eastAsia="黑体" w:cs="Times New Roman"/>
          <w:sz w:val="29"/>
          <w:szCs w:val="29"/>
        </w:rPr>
      </w:pPr>
    </w:p>
    <w:p w14:paraId="511B6EEC">
      <w:pPr>
        <w:pageBreakBefore w:val="0"/>
        <w:kinsoku/>
        <w:wordWrap w:val="0"/>
        <w:bidi w:val="0"/>
        <w:spacing w:line="440" w:lineRule="exact"/>
        <w:jc w:val="center"/>
        <w:rPr>
          <w:rFonts w:hint="default" w:ascii="Times New Roman" w:hAnsi="Times New Roman" w:eastAsia="黑体" w:cs="Times New Roman"/>
          <w:sz w:val="29"/>
          <w:szCs w:val="29"/>
        </w:rPr>
      </w:pPr>
    </w:p>
    <w:p w14:paraId="5B159306">
      <w:pPr>
        <w:pageBreakBefore w:val="0"/>
        <w:kinsoku/>
        <w:wordWrap w:val="0"/>
        <w:bidi w:val="0"/>
        <w:spacing w:line="440" w:lineRule="exact"/>
        <w:jc w:val="center"/>
        <w:rPr>
          <w:rFonts w:hint="default" w:ascii="Times New Roman" w:hAnsi="Times New Roman" w:eastAsia="黑体" w:cs="Times New Roman"/>
          <w:sz w:val="29"/>
          <w:szCs w:val="29"/>
        </w:rPr>
      </w:pPr>
    </w:p>
    <w:p w14:paraId="64A073D4"/>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8034C">
    <w:pPr>
      <w:pStyle w:val="4"/>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BBC4E">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275BBC4E">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07D83">
    <w:pPr>
      <w:pStyle w:val="4"/>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E8143">
                          <w:pPr>
                            <w:pStyle w:val="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2FE8143">
                    <w:pPr>
                      <w:pStyle w:val="4"/>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9C9EF">
    <w:pPr>
      <w:pStyle w:val="4"/>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9220B">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659220B">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14:paraId="48B53093">
      <w:pPr>
        <w:spacing w:before="635" w:after="0" w:line="200" w:lineRule="exact"/>
        <w:ind w:left="0" w:right="0" w:firstLine="0"/>
        <w:jc w:val="left"/>
        <w:rPr>
          <w:rFonts w:ascii="Times New Roman"/>
          <w:color w:val="000000"/>
          <w:spacing w:val="0"/>
          <w:sz w:val="18"/>
        </w:rPr>
      </w:pPr>
      <w:r>
        <w:rPr>
          <w:rFonts w:ascii="宋体" w:hAnsi="宋体" w:cs="宋体"/>
          <w:color w:val="000000"/>
          <w:spacing w:val="-1"/>
          <w:sz w:val="18"/>
        </w:rPr>
        <w:t>“评标办法前附表”用于明确评标的方法、因素、标准和程序，是对评标办法正文的补充和细化，应对照</w:t>
      </w:r>
    </w:p>
    <w:p w14:paraId="74FEFA98">
      <w:pPr>
        <w:spacing w:before="129" w:after="0" w:line="190" w:lineRule="exact"/>
        <w:ind w:left="180" w:right="0" w:firstLine="0"/>
        <w:jc w:val="left"/>
        <w:rPr>
          <w:rFonts w:ascii="Times New Roman"/>
          <w:color w:val="000000"/>
          <w:spacing w:val="0"/>
          <w:sz w:val="18"/>
        </w:rPr>
      </w:pPr>
      <w:r>
        <w:rPr>
          <w:rFonts w:ascii="宋体" w:hAnsi="宋体" w:cs="宋体"/>
          <w:color w:val="000000"/>
          <w:spacing w:val="0"/>
          <w:sz w:val="18"/>
        </w:rPr>
        <w:t>评标办法正文中同一编号的条款一起阅读和理解。如前附表与正文不一致时，以前附表的规定为准。招</w:t>
      </w:r>
    </w:p>
    <w:p w14:paraId="070FAA4F">
      <w:pPr>
        <w:spacing w:before="129" w:after="0" w:line="190" w:lineRule="exact"/>
        <w:ind w:left="180" w:right="0" w:firstLine="0"/>
        <w:jc w:val="left"/>
        <w:rPr>
          <w:rFonts w:ascii="Times New Roman"/>
          <w:color w:val="000000"/>
          <w:spacing w:val="0"/>
          <w:sz w:val="18"/>
        </w:rPr>
      </w:pPr>
      <w:r>
        <w:rPr>
          <w:rFonts w:ascii="宋体" w:hAnsi="宋体" w:cs="宋体"/>
          <w:color w:val="000000"/>
          <w:spacing w:val="0"/>
          <w:sz w:val="18"/>
        </w:rPr>
        <w:t>标人应根据招标项目具体特点和实际需要，详细列明全部评审因素、标准，没有列明的因素和标准不得</w:t>
      </w:r>
    </w:p>
    <w:p w14:paraId="7658CC66">
      <w:pPr>
        <w:spacing w:before="132" w:after="0" w:line="190" w:lineRule="exact"/>
        <w:ind w:left="180" w:right="0" w:firstLine="0"/>
        <w:jc w:val="left"/>
        <w:rPr>
          <w:rFonts w:ascii="Times New Roman"/>
          <w:color w:val="000000"/>
          <w:spacing w:val="0"/>
          <w:sz w:val="18"/>
        </w:rPr>
      </w:pPr>
      <w:r>
        <w:rPr>
          <w:rFonts w:ascii="宋体" w:hAnsi="宋体" w:cs="宋体"/>
          <w:color w:val="000000"/>
          <w:spacing w:val="0"/>
          <w:sz w:val="18"/>
        </w:rPr>
        <w:t>作为评标的依据。</w:t>
      </w:r>
    </w:p>
    <w:p w14:paraId="2B56A0D7">
      <w:pPr>
        <w:pStyle w:val="6"/>
        <w:spacing w:line="320" w:lineRule="atLeast"/>
        <w:jc w:val="both"/>
        <w:rPr>
          <w:rFonts w:hint="eastAsia"/>
          <w:szCs w:val="18"/>
        </w:rPr>
      </w:pPr>
    </w:p>
  </w:footnote>
  <w:footnote w:id="1">
    <w:p w14:paraId="1B386969">
      <w:pPr>
        <w:pStyle w:val="6"/>
        <w:spacing w:line="320" w:lineRule="atLeast"/>
        <w:ind w:left="0" w:leftChars="0" w:firstLine="0" w:firstLineChars="0"/>
        <w:jc w:val="both"/>
        <w:rPr>
          <w:rFonts w:hint="eastAsia"/>
          <w:szCs w:val="18"/>
        </w:rPr>
      </w:pPr>
    </w:p>
  </w:footnote>
  <w:footnote w:id="2">
    <w:p w14:paraId="7E38B1FE">
      <w:pPr>
        <w:pStyle w:val="6"/>
        <w:spacing w:line="320" w:lineRule="atLeast"/>
        <w:ind w:left="180" w:hanging="180" w:hangingChars="100"/>
        <w:rPr>
          <w:rFonts w:hint="eastAsia"/>
          <w:szCs w:val="18"/>
        </w:rPr>
      </w:pPr>
      <w:r>
        <w:rPr>
          <w:rStyle w:val="10"/>
          <w:szCs w:val="18"/>
        </w:rPr>
        <w:footnoteRef/>
      </w:r>
      <w:r>
        <w:rPr>
          <w:rFonts w:hint="eastAsia" w:ascii="宋体" w:hAnsi="宋体"/>
          <w:szCs w:val="18"/>
        </w:rPr>
        <w:t xml:space="preserve"> 对</w:t>
      </w:r>
      <w:r>
        <w:rPr>
          <w:rFonts w:hint="eastAsia"/>
          <w:szCs w:val="18"/>
        </w:rPr>
        <w:t>于特别复杂的特大桥梁和特长隧道项目主体工程以及其他有特殊要求的工程，还</w:t>
      </w:r>
      <w:r>
        <w:rPr>
          <w:rFonts w:hint="eastAsia"/>
          <w:szCs w:val="18"/>
          <w:lang w:eastAsia="zh-CN"/>
        </w:rPr>
        <w:t>可</w:t>
      </w:r>
      <w:r>
        <w:rPr>
          <w:rFonts w:hint="eastAsia"/>
          <w:szCs w:val="18"/>
        </w:rPr>
        <w:t>对其他管理和技术人员</w:t>
      </w:r>
      <w:r>
        <w:rPr>
          <w:rFonts w:hint="eastAsia"/>
          <w:lang w:eastAsia="zh-CN"/>
        </w:rPr>
        <w:t>（例如</w:t>
      </w:r>
      <w:r>
        <w:rPr>
          <w:lang w:eastAsia="zh-CN"/>
        </w:rPr>
        <w:t>项目副经理、专业工程师等</w:t>
      </w:r>
      <w:r>
        <w:rPr>
          <w:rFonts w:hint="eastAsia"/>
          <w:lang w:eastAsia="zh-CN"/>
        </w:rPr>
        <w:t>）</w:t>
      </w:r>
      <w:r>
        <w:rPr>
          <w:rFonts w:hint="eastAsia"/>
          <w:szCs w:val="18"/>
        </w:rPr>
        <w:t>以及主要机械设备和试验检测设备进行资格评审。</w:t>
      </w:r>
    </w:p>
  </w:footnote>
  <w:footnote w:id="3">
    <w:p w14:paraId="4779B012">
      <w:pPr>
        <w:pStyle w:val="6"/>
        <w:spacing w:line="320" w:lineRule="atLeast"/>
        <w:ind w:left="180" w:hanging="180" w:hangingChars="100"/>
        <w:rPr>
          <w:rFonts w:hint="eastAsia"/>
        </w:rPr>
      </w:pPr>
      <w:r>
        <w:rPr>
          <w:rStyle w:val="10"/>
        </w:rPr>
        <w:footnoteRef/>
      </w:r>
      <w:r>
        <w:rPr>
          <w:rFonts w:hint="eastAsia"/>
          <w:szCs w:val="18"/>
          <w:lang w:eastAsia="zh-CN"/>
        </w:rPr>
        <w:t xml:space="preserve"> </w:t>
      </w:r>
      <w:r>
        <w:rPr>
          <w:rFonts w:hint="eastAsia"/>
          <w:szCs w:val="18"/>
        </w:rPr>
        <w:t>本</w:t>
      </w:r>
      <w:r>
        <w:rPr>
          <w:rFonts w:hint="eastAsia"/>
          <w:szCs w:val="18"/>
          <w:lang w:eastAsia="zh-CN"/>
        </w:rPr>
        <w:t>款</w:t>
      </w:r>
      <w:r>
        <w:rPr>
          <w:rFonts w:hint="eastAsia"/>
          <w:szCs w:val="18"/>
        </w:rPr>
        <w:t>规定仅适用于根据《关于发布公路工程从业企业资质名录的通知》（厅公路字〔</w:t>
      </w:r>
      <w:r>
        <w:rPr>
          <w:szCs w:val="18"/>
        </w:rPr>
        <w:t>2011</w:t>
      </w:r>
      <w:r>
        <w:rPr>
          <w:rFonts w:hint="eastAsia"/>
          <w:szCs w:val="18"/>
        </w:rPr>
        <w:t>〕</w:t>
      </w:r>
      <w:r>
        <w:rPr>
          <w:szCs w:val="18"/>
        </w:rPr>
        <w:t>114</w:t>
      </w:r>
      <w:r>
        <w:rPr>
          <w:rFonts w:hint="eastAsia"/>
          <w:szCs w:val="18"/>
        </w:rPr>
        <w:t>号）要求，招标人应通过名录对投标人资质条件进行审核的公路施工企业。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48B98">
    <w:pPr>
      <w:pStyle w:val="5"/>
      <w:pBdr>
        <w:bottom w:val="single" w:color="auto" w:sz="4" w:space="0"/>
      </w:pBdr>
      <w:jc w:val="left"/>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辽宁省公路建设养护工程电子招标标准</w:t>
    </w:r>
    <w:r>
      <w:rPr>
        <w:rFonts w:hint="eastAsia" w:eastAsia="黑体" w:cs="Times New Roman"/>
        <w:sz w:val="20"/>
        <w:szCs w:val="21"/>
        <w:lang w:val="en-US" w:eastAsia="zh-CN"/>
      </w:rPr>
      <w:t>施工</w:t>
    </w:r>
    <w:r>
      <w:rPr>
        <w:rFonts w:hint="default" w:ascii="Times New Roman" w:hAnsi="Times New Roman" w:eastAsia="黑体" w:cs="Times New Roman"/>
        <w:sz w:val="20"/>
        <w:szCs w:val="21"/>
      </w:rPr>
      <w:t>招标文件（20</w:t>
    </w:r>
    <w:r>
      <w:rPr>
        <w:rFonts w:hint="default" w:ascii="Times New Roman" w:hAnsi="Times New Roman" w:eastAsia="黑体" w:cs="Times New Roman"/>
        <w:sz w:val="20"/>
        <w:szCs w:val="21"/>
        <w:lang w:val="en-US" w:eastAsia="zh-CN"/>
      </w:rPr>
      <w:t>23</w:t>
    </w:r>
    <w:r>
      <w:rPr>
        <w:rFonts w:hint="default" w:ascii="Times New Roman" w:hAnsi="Times New Roman" w:eastAsia="黑体" w:cs="Times New Roman"/>
        <w:sz w:val="20"/>
        <w:szCs w:val="21"/>
      </w:rPr>
      <w:t>年版）</w:t>
    </w:r>
  </w:p>
  <w:p w14:paraId="1D0C8DEB">
    <w:pPr>
      <w:pStyle w:val="5"/>
    </w:pPr>
  </w:p>
  <w:p w14:paraId="374285F9">
    <w:pPr>
      <w:pStyle w:val="5"/>
      <w:rPr>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22F1E">
    <w:pPr>
      <w:pStyle w:val="5"/>
      <w:pBdr>
        <w:bottom w:val="single" w:color="auto" w:sz="4" w:space="0"/>
      </w:pBdr>
      <w:jc w:val="left"/>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辽宁省公路建设养护工程电子招标标准</w:t>
    </w:r>
    <w:r>
      <w:rPr>
        <w:rFonts w:hint="eastAsia" w:eastAsia="黑体" w:cs="Times New Roman"/>
        <w:sz w:val="20"/>
        <w:szCs w:val="21"/>
        <w:lang w:val="en-US" w:eastAsia="zh-CN"/>
      </w:rPr>
      <w:t>施工</w:t>
    </w:r>
    <w:r>
      <w:rPr>
        <w:rFonts w:hint="default" w:ascii="Times New Roman" w:hAnsi="Times New Roman" w:eastAsia="黑体" w:cs="Times New Roman"/>
        <w:sz w:val="20"/>
        <w:szCs w:val="21"/>
      </w:rPr>
      <w:t>招标文件（20</w:t>
    </w:r>
    <w:r>
      <w:rPr>
        <w:rFonts w:hint="default" w:ascii="Times New Roman" w:hAnsi="Times New Roman" w:eastAsia="黑体" w:cs="Times New Roman"/>
        <w:sz w:val="20"/>
        <w:szCs w:val="21"/>
        <w:lang w:val="en-US" w:eastAsia="zh-CN"/>
      </w:rPr>
      <w:t>23</w:t>
    </w:r>
    <w:r>
      <w:rPr>
        <w:rFonts w:hint="default" w:ascii="Times New Roman" w:hAnsi="Times New Roman" w:eastAsia="黑体" w:cs="Times New Roman"/>
        <w:sz w:val="20"/>
        <w:szCs w:val="21"/>
      </w:rPr>
      <w:t>年版）</w:t>
    </w:r>
  </w:p>
  <w:p w14:paraId="059F4FDA">
    <w:pPr>
      <w:pStyle w:val="5"/>
    </w:pPr>
  </w:p>
  <w:p w14:paraId="7B5145F8">
    <w:pPr>
      <w:pStyle w:val="5"/>
    </w:pPr>
  </w:p>
  <w:p w14:paraId="76EDB0F5">
    <w:pPr>
      <w:pStyle w:val="5"/>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20090">
    <w:pPr>
      <w:pBdr>
        <w:bottom w:val="single" w:color="auto" w:sz="4" w:space="1"/>
      </w:pBdr>
      <w:topLinePunct/>
      <w:spacing w:line="240" w:lineRule="atLeast"/>
      <w:ind w:right="190"/>
      <w:jc w:val="right"/>
      <w:rPr>
        <w:sz w:val="17"/>
        <w:szCs w:val="17"/>
      </w:rPr>
    </w:pPr>
    <w:r>
      <w:rPr>
        <w:rStyle w:val="11"/>
        <w:rFonts w:hint="eastAsia" w:eastAsia="黑体"/>
        <w:b w:val="0"/>
        <w:bCs w:val="0"/>
        <w:kern w:val="10"/>
        <w:sz w:val="22"/>
        <w:szCs w:val="22"/>
      </w:rPr>
      <w:t>第三章  评标办法（</w:t>
    </w:r>
    <w:r>
      <w:rPr>
        <w:rStyle w:val="11"/>
        <w:rFonts w:hint="eastAsia" w:eastAsia="黑体"/>
        <w:b w:val="0"/>
        <w:bCs w:val="0"/>
        <w:kern w:val="10"/>
        <w:sz w:val="22"/>
        <w:szCs w:val="22"/>
        <w:lang w:val="en-US" w:eastAsia="zh-CN"/>
      </w:rPr>
      <w:t>技术评分最低标</w:t>
    </w:r>
    <w:r>
      <w:rPr>
        <w:rStyle w:val="11"/>
        <w:rFonts w:hint="eastAsia" w:eastAsia="黑体"/>
        <w:b w:val="0"/>
        <w:bCs w:val="0"/>
        <w:kern w:val="10"/>
        <w:sz w:val="22"/>
        <w:szCs w:val="22"/>
      </w:rPr>
      <w:t>价法）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AF03FD"/>
    <w:multiLevelType w:val="singleLevel"/>
    <w:tmpl w:val="0FAF03F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NjVmZGEwNzlhYmEwNDM4MTQ5ZDA2OTk5ZGRjNDcifQ=="/>
  </w:docVars>
  <w:rsids>
    <w:rsidRoot w:val="00000000"/>
    <w:rsid w:val="023E25B8"/>
    <w:rsid w:val="04A02C06"/>
    <w:rsid w:val="15F829AC"/>
    <w:rsid w:val="183C74C7"/>
    <w:rsid w:val="1CCB66E5"/>
    <w:rsid w:val="1DC51D0D"/>
    <w:rsid w:val="230C149A"/>
    <w:rsid w:val="37BF2ED1"/>
    <w:rsid w:val="4E5776CA"/>
    <w:rsid w:val="4EB15812"/>
    <w:rsid w:val="53CE6D7C"/>
    <w:rsid w:val="58192631"/>
    <w:rsid w:val="66703465"/>
    <w:rsid w:val="6ADF0BB9"/>
    <w:rsid w:val="749B1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40" w:after="240" w:line="240" w:lineRule="atLeast"/>
      <w:outlineLvl w:val="0"/>
    </w:pPr>
    <w:rPr>
      <w:rFonts w:eastAsia="黑体"/>
      <w:bCs/>
      <w:kern w:val="44"/>
      <w:sz w:val="2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spacing w:line="500" w:lineRule="exact"/>
      <w:ind w:firstLine="540" w:firstLineChars="200"/>
    </w:pPr>
    <w:rPr>
      <w:rFonts w:ascii="宋体" w:hAnsi="宋体"/>
      <w:sz w:val="27"/>
      <w:szCs w:val="27"/>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qFormat/>
    <w:uiPriority w:val="0"/>
    <w:pPr>
      <w:adjustRightInd w:val="0"/>
      <w:snapToGrid w:val="0"/>
      <w:spacing w:line="420" w:lineRule="atLeast"/>
      <w:ind w:firstLine="454"/>
      <w:jc w:val="left"/>
      <w:textAlignment w:val="baseline"/>
    </w:pPr>
    <w:rPr>
      <w:kern w:val="0"/>
      <w:sz w:val="18"/>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qFormat/>
    <w:uiPriority w:val="0"/>
    <w:rPr>
      <w:vertAlign w:val="superscript"/>
    </w:rPr>
  </w:style>
  <w:style w:type="character" w:customStyle="1" w:styleId="11">
    <w:name w:val="font161"/>
    <w:autoRedefine/>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7232</Words>
  <Characters>7645</Characters>
  <Lines>0</Lines>
  <Paragraphs>0</Paragraphs>
  <TotalTime>1</TotalTime>
  <ScaleCrop>false</ScaleCrop>
  <LinksUpToDate>false</LinksUpToDate>
  <CharactersWithSpaces>7968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2024-06-28T03:06:00Z</dcterms:created>
  <dc:creator>ASUS</dc:creator>
  <cp:lastModifiedBy>ASUS</cp:lastModifiedBy>
  <dcterms:modified xsi:type="dcterms:W3CDTF">2025-04-08T05:02:45Z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A1C10C0799224AD89D621D5900724D20_12</vt:lpwstr>
  </property>
  <property fmtid="{D5CDD505-2E9C-101B-9397-08002B2CF9AE}" pid="4" name="KSOTemplateDocerSaveRecord">
    <vt:lpwstr>eyJoZGlkIjoiZmUzNjVmZGEwNzlhYmEwNDM4MTQ5ZDA2OTk5ZGRjNDciLCJ1c2VySWQiOiIxMDE1NDI3MDE4In0=</vt:lpwstr>
  </property>
</Properties>
</file>