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wordWrap w:val="0"/>
        <w:spacing w:before="480" w:line="380" w:lineRule="atLeast"/>
        <w:jc w:val="center"/>
        <w:rPr>
          <w:sz w:val="36"/>
          <w:szCs w:val="36"/>
          <w:highlight w:val="none"/>
        </w:rPr>
      </w:pPr>
      <w:bookmarkStart w:id="0" w:name="_Toc157076044"/>
      <w:bookmarkStart w:id="1" w:name="_Toc256000072"/>
      <w:bookmarkStart w:id="2" w:name="_Toc167382128"/>
      <w:r>
        <w:rPr>
          <w:sz w:val="36"/>
          <w:szCs w:val="36"/>
          <w:highlight w:val="white"/>
        </w:rPr>
        <w:t xml:space="preserve"> 评</w:t>
      </w:r>
      <w:r>
        <w:rPr>
          <w:sz w:val="36"/>
          <w:szCs w:val="36"/>
          <w:highlight w:val="none"/>
        </w:rPr>
        <w:t>标办法（技术评分最低标价法）</w:t>
      </w:r>
      <w:bookmarkEnd w:id="0"/>
      <w:bookmarkEnd w:id="1"/>
      <w:bookmarkEnd w:id="2"/>
      <w:bookmarkStart w:id="3" w:name="_Toc256000073"/>
      <w:bookmarkStart w:id="4" w:name="_Toc167382129"/>
      <w:bookmarkStart w:id="5" w:name="_Toc157076045"/>
    </w:p>
    <w:p>
      <w:pPr>
        <w:pStyle w:val="3"/>
        <w:numPr>
          <w:ilvl w:val="0"/>
          <w:numId w:val="1"/>
        </w:numPr>
        <w:wordWrap w:val="0"/>
        <w:spacing w:before="0" w:after="0" w:line="240" w:lineRule="auto"/>
        <w:jc w:val="center"/>
        <w:rPr>
          <w:highlight w:val="none"/>
        </w:rPr>
      </w:pPr>
      <w:r>
        <w:rPr>
          <w:rFonts w:ascii="Times New Roman" w:hAnsi="Times New Roman"/>
          <w:szCs w:val="24"/>
          <w:highlight w:val="none"/>
        </w:rPr>
        <w:t>评标办法前附表</w:t>
      </w:r>
      <w:bookmarkEnd w:id="3"/>
      <w:r>
        <w:rPr>
          <w:rStyle w:val="9"/>
          <w:sz w:val="28"/>
          <w:szCs w:val="28"/>
          <w:highlight w:val="none"/>
        </w:rPr>
        <w:footnoteReference w:id="0"/>
      </w:r>
      <w:bookmarkEnd w:id="4"/>
      <w:bookmarkEnd w:id="5"/>
      <w:bookmarkStart w:id="6" w:name="EBb8ff51964b5c404dab095fa38262dca7"/>
      <w:bookmarkEnd w:id="6"/>
      <w:bookmarkStart w:id="7" w:name="EBe2746ae3b6424941bbebb66eb796cead"/>
      <w:bookmarkEnd w:id="7"/>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noWrap w:val="0"/>
            <w:vAlign w:val="center"/>
          </w:tcPr>
          <w:p>
            <w:pPr>
              <w:widowControl w:val="0"/>
              <w:wordWrap w:val="0"/>
              <w:spacing w:line="380" w:lineRule="atLeast"/>
              <w:jc w:val="center"/>
              <w:rPr>
                <w:rFonts w:ascii="Calibri" w:hAnsi="Calibri" w:eastAsia="宋体"/>
                <w:b/>
                <w:kern w:val="2"/>
                <w:sz w:val="21"/>
                <w:szCs w:val="21"/>
                <w:highlight w:val="none"/>
                <w:lang w:val="en-US" w:eastAsia="zh-CN" w:bidi="ar-SA"/>
              </w:rPr>
            </w:pPr>
            <w:r>
              <w:rPr>
                <w:rFonts w:ascii="Calibri" w:hAnsi="Calibri" w:eastAsia="宋体"/>
                <w:b/>
                <w:kern w:val="2"/>
                <w:sz w:val="21"/>
                <w:szCs w:val="21"/>
                <w:highlight w:val="none"/>
                <w:lang w:val="en-US" w:eastAsia="zh-CN" w:bidi="ar-SA"/>
              </w:rPr>
              <w:t>条款号</w:t>
            </w:r>
          </w:p>
        </w:tc>
        <w:tc>
          <w:tcPr>
            <w:tcW w:w="6622" w:type="dxa"/>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380" w:lineRule="atLeast"/>
              <w:jc w:val="center"/>
              <w:rPr>
                <w:rFonts w:ascii="Calibri" w:hAnsi="Calibri" w:eastAsia="宋体"/>
                <w:b/>
                <w:spacing w:val="4"/>
                <w:kern w:val="2"/>
                <w:sz w:val="21"/>
                <w:szCs w:val="21"/>
                <w:highlight w:val="none"/>
                <w:lang w:val="en-US" w:eastAsia="zh-CN" w:bidi="ar-SA"/>
              </w:rPr>
            </w:pPr>
            <w:r>
              <w:rPr>
                <w:rFonts w:ascii="Calibri" w:hAnsi="Calibri" w:eastAsia="宋体"/>
                <w:b/>
                <w:spacing w:val="4"/>
                <w:kern w:val="2"/>
                <w:sz w:val="21"/>
                <w:szCs w:val="21"/>
                <w:highlight w:val="non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noWrap w:val="0"/>
            <w:vAlign w:val="center"/>
          </w:tcPr>
          <w:p>
            <w:pPr>
              <w:widowControl w:val="0"/>
              <w:wordWrap w:val="0"/>
              <w:spacing w:line="40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1</w:t>
            </w:r>
          </w:p>
        </w:tc>
        <w:tc>
          <w:tcPr>
            <w:tcW w:w="1280" w:type="dxa"/>
            <w:tcBorders>
              <w:top w:val="single" w:color="auto" w:sz="4" w:space="0"/>
              <w:bottom w:val="single" w:color="auto" w:sz="4" w:space="0"/>
              <w:right w:val="single" w:color="auto" w:sz="4" w:space="0"/>
            </w:tcBorders>
            <w:noWrap w:val="0"/>
            <w:vAlign w:val="center"/>
          </w:tcPr>
          <w:p>
            <w:pPr>
              <w:widowControl w:val="0"/>
              <w:wordWrap w:val="0"/>
              <w:spacing w:line="40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评标方法</w:t>
            </w:r>
          </w:p>
        </w:tc>
        <w:tc>
          <w:tcPr>
            <w:tcW w:w="6622" w:type="dxa"/>
            <w:tcBorders>
              <w:top w:val="single" w:color="auto" w:sz="4" w:space="0"/>
              <w:left w:val="single" w:color="auto" w:sz="4" w:space="0"/>
              <w:right w:val="single" w:color="auto" w:sz="4" w:space="0"/>
            </w:tcBorders>
            <w:noWrap w:val="0"/>
            <w:vAlign w:val="center"/>
          </w:tcPr>
          <w:p>
            <w:pPr>
              <w:widowControl w:val="0"/>
              <w:wordWrap w:val="0"/>
              <w:spacing w:line="360" w:lineRule="atLeast"/>
              <w:ind w:firstLine="420" w:firstLineChars="200"/>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评标价相等时，评标委员会依次按照以下优先顺序推荐中标候选人或确定中标人：</w:t>
            </w:r>
          </w:p>
          <w:p>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（1）投标报价低的投标人优先；</w:t>
            </w:r>
          </w:p>
          <w:p>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（2）被招标项目所在地省级交通运输主管部门评为较高信用等级的投标人优先；</w:t>
            </w:r>
          </w:p>
          <w:p>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（3）商务和技术得分较高的投标人优先；</w:t>
            </w:r>
          </w:p>
          <w:p>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（4）</w:t>
            </w:r>
            <w:bookmarkStart w:id="8" w:name="EBa14e869b519b4ba4903602ee9a405931"/>
            <w:bookmarkEnd w:id="8"/>
            <w:r>
              <w:rPr>
                <w:rFonts w:ascii="Calibri" w:hAnsi="Calibri" w:eastAsia="宋体"/>
                <w:kern w:val="2"/>
                <w:sz w:val="21"/>
                <w:szCs w:val="21"/>
                <w:highlight w:val="none"/>
                <w:lang w:val="en-US" w:eastAsia="zh-CN" w:bidi="ar-SA"/>
              </w:rPr>
              <w:t>详见随招标文件下载的“招标文件的其他材料 ”载明的评标办法</w:t>
            </w:r>
          </w:p>
        </w:tc>
      </w:tr>
    </w:tbl>
    <w:p>
      <w:pPr>
        <w:rPr>
          <w:rFonts w:hint="eastAsia"/>
          <w:color w:val="000080"/>
          <w:sz w:val="20"/>
          <w:highlight w:val="none"/>
        </w:rPr>
      </w:pPr>
      <w:bookmarkStart w:id="9" w:name="EB1b615a4e6233474f84db5d701df4361e"/>
      <w:bookmarkEnd w:id="9"/>
    </w:p>
    <w:p>
      <w:pPr>
        <w:rPr>
          <w:rFonts w:hint="eastAsia"/>
          <w:color w:val="000080"/>
          <w:sz w:val="20"/>
          <w:highlight w:val="none"/>
        </w:rPr>
      </w:pPr>
      <w:bookmarkStart w:id="10" w:name="EB673a6e2b8b9d44a9884c0cd33af7dcc7"/>
    </w:p>
    <w:tbl>
      <w:tblPr>
        <w:tblStyle w:val="7"/>
        <w:tblW w:w="52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374"/>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2.1.1</w:t>
            </w:r>
          </w:p>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2.1.3</w:t>
            </w:r>
          </w:p>
        </w:tc>
        <w:tc>
          <w:tcPr>
            <w:tcW w:w="137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形式评审与响应性评审标准</w:t>
            </w:r>
          </w:p>
        </w:tc>
        <w:tc>
          <w:tcPr>
            <w:tcW w:w="62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第一个信封（商务及技术文件）评审标准：</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(1)投标文件按照招标文件规定的格式、内容填写，字迹清晰可辨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a.投标函按招标文件规定填报了项目名称、标段号、补遗书编号（如有）、工期、工程质量要求及安全目标； b.投标函附录的所有数据均符合招标文件规定； c.投标文件组成齐全完整，内容均按规定填写。</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(2)投标文件上法定代表人或其委托代理人的签字、投标人的单位章盖章齐全，符合招标文件规定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投标文件上法定代表人或其委托代理人的签字、投标人的单位章盖章齐全，符合招标文件规定</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(3)投标人按照招标文件的规定提供了投标保证金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a.投标保证金金额符合招标文件规定的金额，且投标保证金有效期不少于投标有效期； b.若投标保证金采用现金或支票形式提交，投标人应在递交投标文件截止时间之前，将投标保证金由投标人的基本账户转入招标人指定账户； c.若投标保证金采用银行保函形式提交，银行保函的格式、开具保函的银行均满足招标文件要求，且在递交投标文件截止时间之前向招标人提交了银行保函原件。</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(4)投标人法定代表人授权委托代理人签署投标文件的，须提交授权委托书，且授权人和被授权人均在授权委托书上签名，未使用印章、签名章或其他电子制版签名代替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投标人法定代表人授权委托代理人签署投标文件的，须提交授权委托书，且授权人和被授权人均在授权委托书上签名，未使用印章、签名章或其他电子制版签名代替</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(5)投标人法定代表人亲自签署投标文件的，提供了法定代表人身份证明，且法定代表人在法定代表人身份证明上签名，未使用印章、签名章或其他电子制版签名代替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投标人法定代表人亲自签署投标文件的，提供了法定代表人身份证明，且法定代表人在法定代表人身份证明上签名，未使用印章、签名章或其他电子制版签名代替</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(6)投标人以联合体形式投标时，联合体满足招标文件的要求：投标人按照招标文件提供的格式签订了联合体协议书，明确各方承担连带责任，并明确了联合体牵头人</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投标人以联合体形式投标时，联合体满足招标文件的要求：投标人按照招标文件提供的格式签订了联合体协议书，明确各方承担连带责任，并明确了联合体牵头人</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(7)投标人如有分包计划，符合招标文件第二章“投标人须知” 第 1.11 款规定，且按招标文件第九章“投标文件格式”的要求填写了“拟分包项目情况表”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投标人如有分包计划，符合招标文件第二章“投标人须知” 第 1.11 款规定，且按招标文件第九章“投标文件格式”的要求填写了“拟分包项目情况表”</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(8)同一投标人未提交两个以上不同的投标文件，但招标文件要求提交备选投标的除外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投标文件中未出现有关投标报价的内容</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(9)投标文件中未出现有关投标报价的内容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同一投标人未提交两个以上不同的投标文件，但招标文件要求提交备选投标的除外</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(10)投标文件载明的招标项目完成期限未超过招标文件规定的时限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投标文件载明的招标项目完成期限未超过招标文件规定的时限</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(11)投标文件对招标文件的实质性要求和条件作出响应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投标文件对招标文件的实质性要求和条件作出响应</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(12)权利义务符合招标文件规定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a.投标人应接受招标文件规定的风险划分原则，未提出新的风险划分办法； b.投标人未增加发包人的责任范围，或减少投标人义务； c.投标人未提出不同的工程验收、计量、支付办法； d.投标人对合同纠纷、事故处理办法未提出异议； e.投标人在投标活动中无欺诈行为； f.投标人未对合同条款有重要保留。</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(13)投标文件正、副本份数符合招标文件第二章“投标人须知” 第 3.7.4 项规定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投标文件正、副本份数符合招标文件第二章“投标人须知” 第 3.7.4 项规定</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第二个信封（报价文件）评审标准：</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(1)投标文件按照招标文件规定的格式、内容填写，字迹清晰可辨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a.投标函按招标文件规定填报了项目名称、标段号、补遗书编号（如 有）、投标价（包括大写金额和小写金额）； b.已标价工程量清单说明文字与招标文件规定一致，未进行实质性 修改和删减； c.投标文件组成齐全完整，内容均按规定填写。</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(2)投标文件上法定代表人或其委托代理人的签字、投标人的单 位章盖章齐全，符合招标文件规定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投标文件上法定代表人或其委托代理人的签字、投标人的单 位章盖章齐全，符合招标文件规定</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(3)投标报价或调价函中的报价未超过招标文件设定的最高投标 限价（如有）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投标报价或调价函中的报价未超过招标文件设定的最高投标 限价（如有）</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(4)投标报价或调价函中报价的大写金额能够确定具体数值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投标报价或调价函中报价的大写金额能够确定具体数值</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(5)同一投标人未提交两个以上不同的投标报价，但招标文件要 求提交备选投标的除外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同一投标人未提交两个以上不同的投标报价，但招标文件要 求提交备选投标的除外</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(6)投标人若提交调价函，调价函符合招标文件第二章“投标人 须知”第 3.2.6 项要求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投标人若提交调价函，调价函符合招标文件第二章“投标人 须知”第 3.2.6 项要求</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(7)投标人若填写工程量固化清单，填写完毕的工程量固化清单 未对工程量固化清单电子文件中的数据、格式和运算定义进行修改； 工程量固化清单中的投标报价和投标函大写金额报价一致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投标人若填写工程量固化清单，填写完毕的工程量固化清单 未对工程量固化清单电子文件中的数据、格式和运算定义进行修改； 工程量固化清单中的投标报价和投标函大写金额报价一致</w:t>
            </w:r>
          </w:p>
          <w:p>
            <w:pPr>
              <w:widowControl/>
              <w:jc w:val="left"/>
              <w:rPr>
                <w:rFonts w:ascii="宋体" w:hAnsi="宋体" w:eastAsia="宋体" w:cs="宋体"/>
                <w:kern w:val="0"/>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2.1.2</w:t>
            </w:r>
          </w:p>
        </w:tc>
        <w:tc>
          <w:tcPr>
            <w:tcW w:w="137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资格评审标准</w:t>
            </w:r>
          </w:p>
        </w:tc>
        <w:tc>
          <w:tcPr>
            <w:tcW w:w="62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(1)投标人的资质等级符合招标文件规定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(2)投标人的财务状况符合招标文件规定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(3)投标人的类似项目业绩符合招标文件规定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(4)投标人的信誉符合招标文件规定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(5)投标人的项目经理和项目总工资格、在岗情况符合招标文件规定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(6)投标人的其他要求符合招标文件规定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(7)投标人不存在第二章“投标人须知”第 1.4.3 项或第 1.4.4 项规 定的任何一种情形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(8)投标人符合第二章“投标人须知”第 1.4.5 项规定 </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(9)以联合体形式参与投标的，联合体各方均未再以自己名义 单独或参加其他联合体在同一标段中投标；独立参与投标的，投标人 未同时参加联合体在同一标段中投标 </w:t>
            </w:r>
          </w:p>
          <w:p>
            <w:pPr>
              <w:widowControl/>
              <w:jc w:val="left"/>
              <w:rPr>
                <w:rFonts w:ascii="宋体" w:hAnsi="宋体" w:eastAsia="宋体" w:cs="宋体"/>
                <w:kern w:val="0"/>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2.2.1</w:t>
            </w:r>
          </w:p>
        </w:tc>
        <w:tc>
          <w:tcPr>
            <w:tcW w:w="137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第一个信封 评分分值构成</w:t>
            </w:r>
          </w:p>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（总分100.00分）</w:t>
            </w:r>
          </w:p>
        </w:tc>
        <w:tc>
          <w:tcPr>
            <w:tcW w:w="62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施工组织设计：40.00分</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主要人员：25.00分</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其他因素：技术能力 ：15.0分</w:t>
            </w:r>
          </w:p>
          <w:p>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履约信誉 ：20.0分</w:t>
            </w:r>
          </w:p>
          <w:p>
            <w:pPr>
              <w:widowControl/>
              <w:jc w:val="left"/>
              <w:rPr>
                <w:rFonts w:ascii="宋体" w:hAnsi="宋体" w:eastAsia="宋体" w:cs="宋体"/>
                <w:kern w:val="0"/>
                <w:sz w:val="21"/>
                <w:szCs w:val="24"/>
                <w:highlight w:val="none"/>
                <w:lang w:val="en-US" w:eastAsia="en-US" w:bidi="ar-SA"/>
              </w:rPr>
            </w:pPr>
          </w:p>
          <w:p>
            <w:pPr>
              <w:widowControl/>
              <w:jc w:val="left"/>
              <w:rPr>
                <w:rFonts w:ascii="宋体" w:hAnsi="宋体" w:eastAsia="宋体" w:cs="宋体"/>
                <w:kern w:val="0"/>
                <w:sz w:val="21"/>
                <w:szCs w:val="24"/>
                <w:highlight w:val="none"/>
                <w:lang w:val="en-US" w:eastAsia="en-US" w:bidi="ar-SA"/>
              </w:rPr>
            </w:pPr>
          </w:p>
        </w:tc>
      </w:tr>
      <w:bookmarkEnd w:id="10"/>
    </w:tbl>
    <w:p>
      <w:pPr>
        <w:rPr>
          <w:color w:val="000080"/>
          <w:sz w:val="20"/>
          <w:highlight w:val="none"/>
        </w:rPr>
      </w:pPr>
      <w:bookmarkStart w:id="11" w:name="EB808d6564441943de9fa99b9ac7f00303"/>
      <w:bookmarkEnd w:id="11"/>
      <w:bookmarkStart w:id="12" w:name="EB2092ec00271a4da1ba1aa1ee0aecbee5"/>
      <w:bookmarkEnd w:id="12"/>
    </w:p>
    <w:tbl>
      <w:tblPr>
        <w:tblStyle w:val="7"/>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right w:val="single" w:color="auto" w:sz="4" w:space="0"/>
            </w:tcBorders>
            <w:noWrap w:val="0"/>
            <w:vAlign w:val="center"/>
          </w:tcPr>
          <w:p>
            <w:pPr>
              <w:widowControl w:val="0"/>
              <w:wordWrap w:val="0"/>
              <w:spacing w:line="38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3.2.4</w:t>
            </w:r>
          </w:p>
        </w:tc>
        <w:tc>
          <w:tcPr>
            <w:tcW w:w="1280" w:type="dxa"/>
            <w:tcBorders>
              <w:top w:val="single" w:color="auto" w:sz="4" w:space="0"/>
              <w:right w:val="single" w:color="auto" w:sz="4" w:space="0"/>
            </w:tcBorders>
            <w:noWrap w:val="0"/>
            <w:vAlign w:val="center"/>
          </w:tcPr>
          <w:p>
            <w:pPr>
              <w:widowControl w:val="0"/>
              <w:wordWrap w:val="0"/>
              <w:spacing w:line="38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通过第一个信封详细评审的投标人数量</w:t>
            </w:r>
          </w:p>
        </w:tc>
        <w:tc>
          <w:tcPr>
            <w:tcW w:w="6622" w:type="dxa"/>
            <w:tcBorders>
              <w:top w:val="single" w:color="auto" w:sz="4" w:space="0"/>
              <w:left w:val="single" w:color="auto" w:sz="4" w:space="0"/>
              <w:right w:val="single" w:color="auto" w:sz="4" w:space="0"/>
            </w:tcBorders>
            <w:noWrap w:val="0"/>
            <w:vAlign w:val="center"/>
          </w:tcPr>
          <w:p>
            <w:pPr>
              <w:widowControl w:val="0"/>
              <w:wordWrap w:val="0"/>
              <w:spacing w:line="360" w:lineRule="atLeast"/>
              <w:ind w:firstLine="420" w:firstLineChars="200"/>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按照投标人的商务和技术得分由高到低排序，选择前</w:t>
            </w:r>
            <w:bookmarkStart w:id="13" w:name="EB47fa65483c654c3cb34654cd6591ad1e"/>
            <w:bookmarkEnd w:id="13"/>
            <w:r>
              <w:rPr>
                <w:rFonts w:ascii="Calibri" w:hAnsi="Calibri" w:eastAsia="宋体"/>
                <w:kern w:val="2"/>
                <w:sz w:val="21"/>
                <w:szCs w:val="21"/>
                <w:highlight w:val="none"/>
                <w:lang w:val="en-US" w:eastAsia="zh-CN" w:bidi="ar-SA"/>
              </w:rPr>
              <w:t>名</w:t>
            </w:r>
            <w:r>
              <w:rPr>
                <w:rStyle w:val="9"/>
                <w:b/>
                <w:szCs w:val="21"/>
                <w:highlight w:val="none"/>
              </w:rPr>
              <w:footnoteReference w:id="1"/>
            </w:r>
            <w:r>
              <w:rPr>
                <w:rFonts w:ascii="Calibri" w:hAnsi="Calibri" w:eastAsia="宋体"/>
                <w:kern w:val="2"/>
                <w:sz w:val="21"/>
                <w:szCs w:val="21"/>
                <w:highlight w:val="none"/>
                <w:lang w:val="en-US" w:eastAsia="zh-CN" w:bidi="ar-SA"/>
              </w:rPr>
              <w:t>通过详细评审</w:t>
            </w:r>
          </w:p>
        </w:tc>
      </w:tr>
    </w:tbl>
    <w:p>
      <w:pPr>
        <w:rPr>
          <w:rFonts w:hint="eastAsia"/>
          <w:color w:val="000080"/>
          <w:sz w:val="20"/>
          <w:highlight w:val="none"/>
        </w:rPr>
      </w:pPr>
      <w:bookmarkStart w:id="14" w:name="EBfa092adc90e94a2187a3d0c0a5f3853c"/>
      <w:bookmarkEnd w:id="14"/>
    </w:p>
    <w:p>
      <w:pPr>
        <w:rPr>
          <w:rFonts w:hint="eastAsia"/>
          <w:color w:val="000080"/>
          <w:sz w:val="20"/>
          <w:highlight w:val="none"/>
        </w:rPr>
      </w:pPr>
      <w:bookmarkStart w:id="15" w:name="EB41f1de706272408c99987051b0895d99"/>
    </w:p>
    <w:tbl>
      <w:tblPr>
        <w:tblStyle w:val="7"/>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545"/>
        <w:gridCol w:w="768"/>
        <w:gridCol w:w="1279"/>
        <w:gridCol w:w="2303"/>
        <w:gridCol w:w="814"/>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7" w:type="dxa"/>
            <w:gridSpan w:val="6"/>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评分因素与权重分值</w:t>
            </w:r>
          </w:p>
        </w:tc>
        <w:tc>
          <w:tcPr>
            <w:tcW w:w="1917"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条款号</w:t>
            </w:r>
          </w:p>
        </w:tc>
        <w:tc>
          <w:tcPr>
            <w:tcW w:w="1313"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评分因素</w:t>
            </w:r>
          </w:p>
        </w:tc>
        <w:tc>
          <w:tcPr>
            <w:tcW w:w="127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评分因素权重分值</w:t>
            </w: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 xml:space="preserve">各评分因素细分项 </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分值</w:t>
            </w:r>
          </w:p>
        </w:tc>
        <w:tc>
          <w:tcPr>
            <w:tcW w:w="1917"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2.2.2（1）</w:t>
            </w:r>
          </w:p>
        </w:tc>
        <w:tc>
          <w:tcPr>
            <w:tcW w:w="1313" w:type="dxa"/>
            <w:gridSpan w:val="2"/>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施工组织设计</w:t>
            </w:r>
          </w:p>
        </w:tc>
        <w:tc>
          <w:tcPr>
            <w:tcW w:w="1279"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40.00分</w:t>
            </w: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施工总体计划</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施工总体计划及质量目标、工期目标(包括总工期、节点工期)、安全目标，视方案优劣，</w:t>
            </w:r>
            <w:r>
              <w:rPr>
                <w:rFonts w:hint="eastAsia" w:ascii="宋体" w:hAnsi="宋体" w:eastAsia="宋体" w:cs="宋体"/>
                <w:kern w:val="0"/>
                <w:sz w:val="21"/>
                <w:szCs w:val="24"/>
                <w:highlight w:val="none"/>
                <w:lang w:val="en-US" w:eastAsia="zh-CN" w:bidi="ar-SA"/>
              </w:rPr>
              <w:t>9</w:t>
            </w:r>
            <w:r>
              <w:rPr>
                <w:rFonts w:hint="eastAsia" w:ascii="宋体" w:hAnsi="宋体" w:eastAsia="宋体" w:cs="宋体"/>
                <w:kern w:val="0"/>
                <w:sz w:val="21"/>
                <w:szCs w:val="24"/>
                <w:highlight w:val="none"/>
                <w:lang w:val="en-US" w:eastAsia="en-US"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对项目重点、难点工程的理解及施工方案、工艺流程</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对提出的项目重点、难点方案，视方案优劣，</w:t>
            </w:r>
            <w:r>
              <w:rPr>
                <w:rFonts w:hint="eastAsia" w:ascii="宋体" w:hAnsi="宋体" w:eastAsia="宋体" w:cs="宋体"/>
                <w:kern w:val="0"/>
                <w:sz w:val="21"/>
                <w:szCs w:val="24"/>
                <w:highlight w:val="none"/>
                <w:lang w:val="en-US" w:eastAsia="zh-CN" w:bidi="ar-SA"/>
              </w:rPr>
              <w:t>9</w:t>
            </w:r>
            <w:r>
              <w:rPr>
                <w:rFonts w:hint="eastAsia" w:ascii="宋体" w:hAnsi="宋体" w:eastAsia="宋体" w:cs="宋体"/>
                <w:kern w:val="0"/>
                <w:sz w:val="21"/>
                <w:szCs w:val="24"/>
                <w:highlight w:val="none"/>
                <w:lang w:val="en-US" w:eastAsia="en-US"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质量、工期、安全生产、人员安排保证体系和措施</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质量、工期、安全管理、人员安排保证体系和措施，视方案优劣，</w:t>
            </w:r>
            <w:r>
              <w:rPr>
                <w:rFonts w:hint="eastAsia" w:ascii="宋体" w:hAnsi="宋体" w:eastAsia="宋体" w:cs="宋体"/>
                <w:kern w:val="0"/>
                <w:sz w:val="21"/>
                <w:szCs w:val="24"/>
                <w:highlight w:val="none"/>
                <w:lang w:val="en-US" w:eastAsia="zh-CN" w:bidi="ar-SA"/>
              </w:rPr>
              <w:t>9</w:t>
            </w:r>
            <w:r>
              <w:rPr>
                <w:rFonts w:hint="eastAsia" w:ascii="宋体" w:hAnsi="宋体" w:eastAsia="宋体" w:cs="宋体"/>
                <w:kern w:val="0"/>
                <w:sz w:val="21"/>
                <w:szCs w:val="24"/>
                <w:highlight w:val="none"/>
                <w:lang w:val="en-US" w:eastAsia="en-US"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环境保护、水土保持、施工后期场地恢复、支付保障体系和措施</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5.0分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环境保护、水土保持、施工后期场地恢复、支付保障体系和措施，视方案优劣,</w:t>
            </w:r>
            <w:r>
              <w:rPr>
                <w:rFonts w:hint="eastAsia" w:ascii="宋体" w:hAnsi="宋体" w:eastAsia="宋体" w:cs="宋体"/>
                <w:kern w:val="0"/>
                <w:sz w:val="21"/>
                <w:szCs w:val="24"/>
                <w:highlight w:val="none"/>
                <w:lang w:val="en-US" w:eastAsia="zh-CN" w:bidi="ar-SA"/>
              </w:rPr>
              <w:t>4</w:t>
            </w:r>
            <w:r>
              <w:rPr>
                <w:rFonts w:hint="eastAsia" w:ascii="宋体" w:hAnsi="宋体" w:eastAsia="宋体" w:cs="宋体"/>
                <w:kern w:val="0"/>
                <w:sz w:val="21"/>
                <w:szCs w:val="24"/>
                <w:highlight w:val="none"/>
                <w:lang w:val="en-US" w:eastAsia="en-US"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施工现场标准化、安全生产标准化、信息化建设的保证体系和措施</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5.0分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视方案优劣</w:t>
            </w:r>
            <w:r>
              <w:rPr>
                <w:rFonts w:hint="eastAsia" w:ascii="宋体" w:hAnsi="宋体" w:eastAsia="宋体" w:cs="宋体"/>
                <w:kern w:val="0"/>
                <w:sz w:val="21"/>
                <w:szCs w:val="24"/>
                <w:highlight w:val="none"/>
                <w:lang w:val="en-US" w:eastAsia="zh-CN" w:bidi="ar-SA"/>
              </w:rPr>
              <w:t>4</w:t>
            </w:r>
            <w:r>
              <w:rPr>
                <w:rFonts w:hint="eastAsia" w:ascii="宋体" w:hAnsi="宋体" w:eastAsia="宋体" w:cs="宋体"/>
                <w:kern w:val="0"/>
                <w:sz w:val="21"/>
                <w:szCs w:val="24"/>
                <w:highlight w:val="none"/>
                <w:lang w:val="en-US" w:eastAsia="en-US"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2.2.2（2）</w:t>
            </w:r>
          </w:p>
        </w:tc>
        <w:tc>
          <w:tcPr>
            <w:tcW w:w="1313" w:type="dxa"/>
            <w:gridSpan w:val="2"/>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主要人员</w:t>
            </w:r>
          </w:p>
        </w:tc>
        <w:tc>
          <w:tcPr>
            <w:tcW w:w="1279"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25.0分</w:t>
            </w: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项目经理任职资格</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15.0分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hint="default" w:ascii="宋体" w:hAnsi="宋体" w:eastAsia="宋体" w:cs="宋体"/>
                <w:kern w:val="0"/>
                <w:sz w:val="21"/>
                <w:szCs w:val="24"/>
                <w:highlight w:val="none"/>
                <w:lang w:val="en-US" w:eastAsia="zh-CN" w:bidi="ar-SA"/>
              </w:rPr>
            </w:pPr>
            <w:r>
              <w:rPr>
                <w:rFonts w:hint="eastAsia" w:ascii="宋体" w:hAnsi="宋体" w:eastAsia="宋体" w:cs="宋体"/>
                <w:kern w:val="0"/>
                <w:sz w:val="21"/>
                <w:szCs w:val="24"/>
                <w:highlight w:val="none"/>
                <w:lang w:val="en-US" w:eastAsia="zh-CN" w:bidi="ar-SA"/>
              </w:rPr>
              <w:t>满足</w:t>
            </w:r>
            <w:r>
              <w:rPr>
                <w:rFonts w:ascii="宋体" w:hAnsi="宋体" w:eastAsia="宋体" w:cs="宋体"/>
                <w:kern w:val="0"/>
                <w:sz w:val="21"/>
                <w:szCs w:val="24"/>
                <w:highlight w:val="none"/>
                <w:lang w:val="en-US" w:eastAsia="en-US" w:bidi="ar-SA"/>
              </w:rPr>
              <w:t>项目经理</w:t>
            </w:r>
            <w:bookmarkStart w:id="16" w:name="OLE_LINK1"/>
            <w:r>
              <w:rPr>
                <w:rFonts w:ascii="宋体" w:hAnsi="宋体" w:eastAsia="宋体" w:cs="宋体"/>
                <w:kern w:val="0"/>
                <w:sz w:val="21"/>
                <w:szCs w:val="24"/>
                <w:highlight w:val="none"/>
                <w:lang w:val="en-US" w:eastAsia="en-US" w:bidi="ar-SA"/>
              </w:rPr>
              <w:t>资格</w:t>
            </w:r>
            <w:bookmarkEnd w:id="16"/>
            <w:r>
              <w:rPr>
                <w:rFonts w:hint="eastAsia" w:ascii="宋体" w:hAnsi="宋体" w:eastAsia="宋体" w:cs="宋体"/>
                <w:kern w:val="0"/>
                <w:sz w:val="21"/>
                <w:szCs w:val="24"/>
                <w:highlight w:val="none"/>
                <w:lang w:val="en-US" w:eastAsia="zh-CN" w:bidi="ar-SA"/>
              </w:rPr>
              <w:t>要求得15分。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项目总工任职资格</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zh-CN" w:bidi="ar-SA"/>
              </w:rPr>
              <w:t>满足</w:t>
            </w:r>
            <w:r>
              <w:rPr>
                <w:rFonts w:ascii="宋体" w:hAnsi="宋体" w:eastAsia="宋体" w:cs="宋体"/>
                <w:kern w:val="0"/>
                <w:sz w:val="21"/>
                <w:szCs w:val="24"/>
                <w:highlight w:val="none"/>
                <w:lang w:val="en-US" w:eastAsia="en-US" w:bidi="ar-SA"/>
              </w:rPr>
              <w:t>项目总工资格</w:t>
            </w:r>
            <w:r>
              <w:rPr>
                <w:rFonts w:hint="eastAsia" w:ascii="宋体" w:hAnsi="宋体" w:eastAsia="宋体" w:cs="宋体"/>
                <w:kern w:val="0"/>
                <w:sz w:val="21"/>
                <w:szCs w:val="24"/>
                <w:highlight w:val="none"/>
                <w:lang w:val="en-US" w:eastAsia="zh-CN" w:bidi="ar-SA"/>
              </w:rPr>
              <w:t>要求得10分。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2.2.2（3）</w:t>
            </w:r>
          </w:p>
        </w:tc>
        <w:tc>
          <w:tcPr>
            <w:tcW w:w="545"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其他因素</w:t>
            </w:r>
          </w:p>
        </w:tc>
        <w:tc>
          <w:tcPr>
            <w:tcW w:w="76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技术能力</w:t>
            </w:r>
          </w:p>
        </w:tc>
        <w:tc>
          <w:tcPr>
            <w:tcW w:w="127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15.0分</w:t>
            </w:r>
          </w:p>
        </w:tc>
        <w:tc>
          <w:tcPr>
            <w:tcW w:w="5034"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hint="default" w:ascii="宋体" w:hAnsi="宋体" w:eastAsia="宋体" w:cs="宋体"/>
                <w:kern w:val="0"/>
                <w:sz w:val="21"/>
                <w:szCs w:val="24"/>
                <w:highlight w:val="none"/>
                <w:lang w:val="en-US" w:eastAsia="zh-CN" w:bidi="ar-SA"/>
              </w:rPr>
            </w:pPr>
            <w:r>
              <w:rPr>
                <w:rFonts w:hint="eastAsia" w:ascii="宋体" w:hAnsi="宋体" w:eastAsia="宋体" w:cs="宋体"/>
                <w:kern w:val="0"/>
                <w:sz w:val="21"/>
                <w:szCs w:val="24"/>
                <w:highlight w:val="none"/>
                <w:lang w:val="en-US" w:eastAsia="zh-CN" w:bidi="ar-SA"/>
              </w:rPr>
              <w:t>满足企业资格要求得15分。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545"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p>
        </w:tc>
        <w:tc>
          <w:tcPr>
            <w:tcW w:w="76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履约信誉</w:t>
            </w:r>
          </w:p>
        </w:tc>
        <w:tc>
          <w:tcPr>
            <w:tcW w:w="127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20.0分</w:t>
            </w:r>
          </w:p>
        </w:tc>
        <w:tc>
          <w:tcPr>
            <w:tcW w:w="5034"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jc w:val="both"/>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上一年度 AA级信用等级20分，A级信用等级15分、B级信用等级10分、C级信用等级5分、D级信用等级0分。投标人无2024年度公路施工企业信用等级评价结果的，可采用2023年度公路施工企业信用等级评价结果(如投标人有2024年度公路施工企业信用等级评价结果，却采用2023年度公路施工企业信用等级评价结果进行投标，该投标人将被认定为恶意规避、虚假承诺骗取中标，所造成的一切后果投标人责任自负)</w:t>
            </w:r>
          </w:p>
        </w:tc>
      </w:tr>
    </w:tbl>
    <w:p>
      <w:pPr>
        <w:rPr>
          <w:rFonts w:hint="eastAsia"/>
          <w:color w:val="000080"/>
          <w:sz w:val="20"/>
          <w:highlight w:val="none"/>
        </w:rPr>
      </w:pPr>
      <w:r>
        <w:rPr>
          <w:rFonts w:hint="eastAsia"/>
          <w:color w:val="000080"/>
          <w:sz w:val="20"/>
          <w:highlight w:val="none"/>
        </w:rPr>
        <w:t xml:space="preserve"> </w:t>
      </w:r>
      <w:bookmarkEnd w:id="15"/>
    </w:p>
    <w:p>
      <w:pPr>
        <w:rPr>
          <w:highlight w:val="none"/>
        </w:rPr>
      </w:pPr>
      <w:bookmarkStart w:id="17" w:name="EB18305fe5cf76447c94f446613cc33265"/>
      <w:bookmarkEnd w:id="17"/>
      <w:bookmarkStart w:id="18" w:name="EB227e11b6a3844339aa397868c428a23f"/>
      <w:bookmarkEnd w:id="1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891" w:type="dxa"/>
            <w:noWrap w:val="0"/>
            <w:vAlign w:val="top"/>
          </w:tcPr>
          <w:p>
            <w:pPr>
              <w:widowControl w:val="0"/>
              <w:wordWrap w:val="0"/>
              <w:spacing w:line="38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需要补充的其他内容：</w:t>
            </w:r>
          </w:p>
          <w:p>
            <w:pPr>
              <w:widowControl w:val="0"/>
              <w:wordWrap w:val="0"/>
              <w:spacing w:line="380" w:lineRule="atLeast"/>
              <w:ind w:firstLine="420" w:firstLineChars="200"/>
              <w:jc w:val="both"/>
              <w:rPr>
                <w:rFonts w:hint="eastAsia" w:ascii="Calibri" w:hAnsi="Calibri" w:eastAsia="宋体"/>
                <w:kern w:val="2"/>
                <w:sz w:val="21"/>
                <w:szCs w:val="21"/>
                <w:highlight w:val="none"/>
                <w:lang w:val="en-US" w:eastAsia="zh-CN" w:bidi="ar-SA"/>
              </w:rPr>
            </w:pPr>
            <w:r>
              <w:rPr>
                <w:rFonts w:hint="eastAsia" w:ascii="Calibri" w:hAnsi="Calibri" w:eastAsia="宋体"/>
                <w:kern w:val="2"/>
                <w:sz w:val="21"/>
                <w:szCs w:val="21"/>
                <w:highlight w:val="none"/>
                <w:lang w:val="en-US" w:eastAsia="zh-CN" w:bidi="ar-SA"/>
              </w:rPr>
              <w:t>施工招标采用技术评分最低标价法。按照投标人商务和技术评分由高到低排序，对排名在n以内的投标人的报价文件进行评审，n值按参与商务和技术评分投标人数量的30%(数值向下取整)确定，n值不得小于 3，不得大于 10。</w:t>
            </w:r>
          </w:p>
          <w:p>
            <w:pPr>
              <w:pStyle w:val="2"/>
              <w:ind w:firstLine="420" w:firstLineChars="200"/>
              <w:rPr>
                <w:rFonts w:hint="eastAsia"/>
                <w:lang w:val="en-US" w:eastAsia="zh-CN"/>
              </w:rPr>
            </w:pPr>
            <w:r>
              <w:rPr>
                <w:rFonts w:hint="eastAsia"/>
                <w:lang w:val="en-US" w:eastAsia="zh-CN"/>
              </w:rPr>
              <w:t>投标人需提供有效的辽宁省公路施工企业信用评价等级结果证明，不具备时，按照以下顺序提供相应的证明材料：</w:t>
            </w:r>
          </w:p>
          <w:p>
            <w:pPr>
              <w:pStyle w:val="2"/>
              <w:ind w:firstLine="210" w:firstLineChars="100"/>
              <w:rPr>
                <w:rFonts w:hint="eastAsia"/>
                <w:lang w:val="en-US" w:eastAsia="zh-CN"/>
              </w:rPr>
            </w:pPr>
            <w:r>
              <w:rPr>
                <w:rFonts w:hint="eastAsia"/>
                <w:lang w:val="en-US" w:eastAsia="zh-CN"/>
              </w:rPr>
              <w:t>（一）全国综合信用评价等级；</w:t>
            </w:r>
          </w:p>
          <w:p>
            <w:pPr>
              <w:pStyle w:val="2"/>
              <w:ind w:firstLine="210" w:firstLineChars="100"/>
              <w:rPr>
                <w:rFonts w:hint="eastAsia"/>
                <w:lang w:val="en-US" w:eastAsia="zh-CN"/>
              </w:rPr>
            </w:pPr>
            <w:r>
              <w:rPr>
                <w:rFonts w:hint="eastAsia"/>
                <w:lang w:val="en-US" w:eastAsia="zh-CN"/>
              </w:rPr>
              <w:t>（二）企业注册地省级交通行政主管部门信用评价等级；</w:t>
            </w:r>
          </w:p>
          <w:p>
            <w:pPr>
              <w:pStyle w:val="2"/>
              <w:ind w:firstLine="210" w:firstLineChars="100"/>
              <w:rPr>
                <w:rFonts w:hint="eastAsia"/>
                <w:lang w:val="en-US" w:eastAsia="zh-CN"/>
              </w:rPr>
            </w:pPr>
            <w:r>
              <w:rPr>
                <w:rFonts w:hint="eastAsia"/>
                <w:lang w:val="en-US" w:eastAsia="zh-CN"/>
              </w:rPr>
              <w:t>（三）无全国综合信用评价等级和注册地省级信用评价等级的，根据“全国公路建设市场信用信息管理系统”查询结果，无不良行为记录的按A级认定，有不良行为记录但超过三年（自然年，下同）的按B级认定，三年内有不良行为记录的按C级认定。</w:t>
            </w:r>
          </w:p>
          <w:p>
            <w:pPr>
              <w:snapToGrid w:val="0"/>
              <w:spacing w:line="300" w:lineRule="auto"/>
              <w:ind w:firstLine="525" w:firstLineChars="250"/>
              <w:jc w:val="both"/>
              <w:rPr>
                <w:rFonts w:hint="eastAsia"/>
                <w:bCs/>
                <w:szCs w:val="21"/>
                <w:highlight w:val="none"/>
              </w:rPr>
            </w:pPr>
            <w:r>
              <w:rPr>
                <w:rFonts w:hint="eastAsia"/>
                <w:bCs/>
                <w:szCs w:val="21"/>
                <w:highlight w:val="none"/>
              </w:rPr>
              <w:t>1.评标办法</w:t>
            </w:r>
          </w:p>
          <w:p>
            <w:pPr>
              <w:snapToGrid w:val="0"/>
              <w:spacing w:line="300" w:lineRule="auto"/>
              <w:ind w:left="113" w:leftChars="54" w:right="113" w:firstLine="420" w:firstLineChars="200"/>
              <w:jc w:val="both"/>
              <w:rPr>
                <w:rFonts w:hint="eastAsia"/>
                <w:szCs w:val="21"/>
                <w:highlight w:val="none"/>
              </w:rPr>
            </w:pPr>
            <w:r>
              <w:rPr>
                <w:rFonts w:hint="eastAsia"/>
                <w:szCs w:val="21"/>
                <w:highlight w:val="none"/>
              </w:rPr>
              <w:t>本条细化为：</w:t>
            </w:r>
          </w:p>
          <w:p>
            <w:pPr>
              <w:snapToGrid w:val="0"/>
              <w:spacing w:line="300" w:lineRule="auto"/>
              <w:ind w:left="113" w:leftChars="54" w:right="113" w:firstLine="420" w:firstLineChars="200"/>
              <w:jc w:val="both"/>
              <w:rPr>
                <w:rFonts w:hint="eastAsia"/>
                <w:szCs w:val="21"/>
                <w:highlight w:val="none"/>
              </w:rPr>
            </w:pPr>
            <w:r>
              <w:rPr>
                <w:rFonts w:hint="eastAsia"/>
                <w:szCs w:val="21"/>
                <w:highlight w:val="none"/>
              </w:rPr>
              <w:t>采用双信封形式技术评分最低标价法</w:t>
            </w:r>
          </w:p>
          <w:p>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1.1评标委员会首先对投标文件第一信封进行初步评审，然后对通过第一信封初步评审的投标文件按照本章2.2款规定的评分标准进行第一信封详细量化评审，所有投标人的第二信封由招标人统一负责保存。</w:t>
            </w:r>
          </w:p>
          <w:p>
            <w:pPr>
              <w:snapToGrid w:val="0"/>
              <w:spacing w:line="300" w:lineRule="auto"/>
              <w:ind w:left="113" w:leftChars="54" w:right="113" w:firstLine="420" w:firstLineChars="200"/>
              <w:jc w:val="both"/>
              <w:rPr>
                <w:rFonts w:hint="eastAsia"/>
                <w:highlight w:val="none"/>
              </w:rPr>
            </w:pPr>
            <w:r>
              <w:rPr>
                <w:rFonts w:hint="eastAsia"/>
                <w:szCs w:val="21"/>
                <w:highlight w:val="none"/>
              </w:rPr>
              <w:t>1.2第一信封评审综合得分排列前</w:t>
            </w:r>
            <w:r>
              <w:rPr>
                <w:rFonts w:hint="eastAsia"/>
                <w:szCs w:val="21"/>
                <w:highlight w:val="none"/>
                <w:lang w:val="en-US" w:eastAsia="zh-CN"/>
              </w:rPr>
              <w:t>n</w:t>
            </w:r>
            <w:r>
              <w:rPr>
                <w:rFonts w:hint="eastAsia"/>
                <w:szCs w:val="21"/>
                <w:highlight w:val="none"/>
              </w:rPr>
              <w:t>名的投标人进入第二信封的评审，其第二信封在监督人的监督下进行开标；其他投标人的第二信封原封退回投标人。</w:t>
            </w:r>
          </w:p>
          <w:p>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1.3评标委员会对开启的投标文件第二信封进行初步评审，对通过初步评审的投标人，按评标价由低至高的顺序推荐次序进行排序，但评标价低于其成本的除外。</w:t>
            </w:r>
          </w:p>
          <w:p>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1.4若出现最低评标价相同时，推荐顺序则依次依据：施工组织设计得分、“投标人 2024</w:t>
            </w:r>
          </w:p>
          <w:p>
            <w:pPr>
              <w:snapToGrid w:val="0"/>
              <w:spacing w:line="300" w:lineRule="auto"/>
              <w:ind w:right="113"/>
              <w:jc w:val="both"/>
              <w:rPr>
                <w:rFonts w:hint="eastAsia"/>
                <w:szCs w:val="21"/>
                <w:highlight w:val="none"/>
              </w:rPr>
            </w:pPr>
            <w:r>
              <w:rPr>
                <w:rFonts w:hint="eastAsia"/>
                <w:szCs w:val="21"/>
                <w:highlight w:val="none"/>
              </w:rPr>
              <w:t>年（或 2023 年）年末净资产”由高到低的顺序进行确定，若 2024 年（或 2023 年）年末净资产也相等时，则由评标委员会根据施工组织设计的编制情况投票确定其推荐顺序。</w:t>
            </w:r>
          </w:p>
          <w:p>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1.5通过第一个信封评审且参与第二个信封开标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widowControl w:val="0"/>
              <w:wordWrap w:val="0"/>
              <w:spacing w:line="380" w:lineRule="atLeast"/>
              <w:jc w:val="both"/>
              <w:rPr>
                <w:rFonts w:ascii="Calibri" w:hAnsi="Calibri" w:eastAsia="宋体"/>
                <w:kern w:val="2"/>
                <w:sz w:val="21"/>
                <w:szCs w:val="21"/>
                <w:highlight w:val="none"/>
                <w:lang w:val="en-US" w:eastAsia="zh-CN" w:bidi="ar-SA"/>
              </w:rPr>
            </w:pPr>
            <w:r>
              <w:rPr>
                <w:rFonts w:hint="eastAsia"/>
                <w:szCs w:val="21"/>
                <w:highlight w:val="none"/>
              </w:rPr>
              <w:t>通过第一个信封评审且参与第二个信封开标的投标人少于3个的，评标委员会可以否决全部投标；未否决全部投标的，评标委员会应当在评标报告中阐明理由，招标人将按规定的程序进行第二个信封开标，但评标委员会在进行第二个信封评审时仍有权否决全部投标；评标委员会未在第二个信封评审时否决全部投标的，应当在评标报告中阐明理由并推荐中标候选人。</w:t>
            </w:r>
            <w:bookmarkStart w:id="19" w:name="EB6fcf525a93854a72a75832511ab47d98"/>
            <w:bookmarkEnd w:id="19"/>
          </w:p>
        </w:tc>
      </w:tr>
    </w:tbl>
    <w:p/>
    <w:p>
      <w:pPr>
        <w:pStyle w:val="2"/>
      </w:pPr>
    </w:p>
    <w:p>
      <w:pPr>
        <w:pStyle w:val="2"/>
      </w:pPr>
    </w:p>
    <w:p>
      <w:pPr>
        <w:pStyle w:val="2"/>
      </w:pPr>
    </w:p>
    <w:p>
      <w:pPr>
        <w:pStyle w:val="2"/>
      </w:pPr>
    </w:p>
    <w:p>
      <w:pPr>
        <w:spacing w:line="216" w:lineRule="auto"/>
        <w:ind w:left="518"/>
        <w:jc w:val="right"/>
        <w:rPr>
          <w:rFonts w:ascii="宋体" w:hAnsi="宋体" w:eastAsia="宋体" w:cs="宋体"/>
          <w:spacing w:val="-1"/>
          <w:sz w:val="24"/>
          <w:szCs w:val="24"/>
        </w:rPr>
      </w:pPr>
      <w:r>
        <w:rPr>
          <w:rFonts w:hint="eastAsia" w:ascii="宋体" w:hAnsi="宋体" w:eastAsia="宋体" w:cs="宋体"/>
          <w:spacing w:val="-1"/>
          <w:sz w:val="24"/>
          <w:szCs w:val="24"/>
          <w:lang w:val="en-US" w:eastAsia="zh-CN"/>
        </w:rPr>
        <w:t>辽宁启运招投标服务</w:t>
      </w:r>
      <w:r>
        <w:rPr>
          <w:rFonts w:ascii="宋体" w:hAnsi="宋体" w:eastAsia="宋体" w:cs="宋体"/>
          <w:spacing w:val="-1"/>
          <w:sz w:val="24"/>
          <w:szCs w:val="24"/>
        </w:rPr>
        <w:t>有限公司</w:t>
      </w:r>
    </w:p>
    <w:p>
      <w:pPr>
        <w:spacing w:line="216" w:lineRule="auto"/>
        <w:ind w:left="518"/>
        <w:jc w:val="right"/>
        <w:rPr>
          <w:rFonts w:hint="eastAsia" w:ascii="宋体" w:hAnsi="宋体" w:cs="宋体"/>
          <w:spacing w:val="-1"/>
          <w:sz w:val="24"/>
          <w:szCs w:val="24"/>
          <w:lang w:val="en-US" w:eastAsia="zh-CN"/>
        </w:rPr>
      </w:pPr>
    </w:p>
    <w:p>
      <w:pPr>
        <w:spacing w:line="216" w:lineRule="auto"/>
        <w:ind w:left="518"/>
        <w:jc w:val="righ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2025年4月3日</w:t>
      </w:r>
    </w:p>
    <w:p>
      <w:pPr>
        <w:spacing w:line="216" w:lineRule="auto"/>
        <w:ind w:left="518"/>
        <w:rPr>
          <w:rFonts w:hint="eastAsia" w:ascii="Calibri" w:hAnsi="Calibri" w:eastAsia="Calibri" w:cs="Calibri"/>
          <w:spacing w:val="23"/>
          <w:kern w:val="2"/>
          <w:sz w:val="24"/>
          <w:szCs w:val="24"/>
          <w:lang w:val="en-US" w:eastAsia="zh-CN" w:bidi="ar-SA"/>
        </w:rPr>
      </w:pPr>
    </w:p>
    <w:p>
      <w:pPr>
        <w:pStyle w:val="2"/>
      </w:pPr>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spacing w:line="320" w:lineRule="atLeast"/>
        <w:ind w:left="180" w:hanging="180" w:hangingChars="100"/>
        <w:rPr>
          <w:szCs w:val="18"/>
        </w:rPr>
      </w:pPr>
      <w:r>
        <w:rPr>
          <w:rStyle w:val="9"/>
          <w:szCs w:val="18"/>
        </w:rPr>
        <w:footnoteRef/>
      </w:r>
      <w:r>
        <w:rPr>
          <w:rFonts w:hint="eastAsia"/>
          <w:szCs w:val="18"/>
          <w:highlight w:val="white"/>
        </w:rPr>
        <w:t>“评标办法前附表”用于明确评标的方法、因素、标准和程序，是对评标办法正文的补充和细化，应对照评标办法正文中同一编号的条款一起阅读和理解</w:t>
      </w:r>
      <w:r>
        <w:rPr>
          <w:rFonts w:hint="eastAsia" w:ascii="Times New Roman" w:hAnsi="Times New Roman" w:eastAsia="宋体" w:cs="Times New Roman"/>
          <w:szCs w:val="18"/>
          <w:highlight w:val="white"/>
        </w:rPr>
        <w:t>。如前附表与正文不一致时，以前附表的规定为准。招标人应根据招标项目具体特点和实际需要，详细列明全部评审因素、标准，没有列明的因素和标准不</w:t>
      </w:r>
      <w:r>
        <w:rPr>
          <w:rFonts w:hint="eastAsia"/>
          <w:szCs w:val="18"/>
          <w:highlight w:val="white"/>
        </w:rPr>
        <w:t>得作为评标的依据。</w:t>
      </w:r>
    </w:p>
  </w:footnote>
  <w:footnote w:id="1">
    <w:p>
      <w:pPr>
        <w:pStyle w:val="6"/>
        <w:spacing w:line="300" w:lineRule="atLeast"/>
        <w:ind w:left="180" w:hanging="180" w:hangingChars="100"/>
        <w:jc w:val="both"/>
        <w:rPr>
          <w:szCs w:val="18"/>
        </w:rPr>
      </w:pPr>
      <w:r>
        <w:rPr>
          <w:rStyle w:val="9"/>
          <w:szCs w:val="18"/>
        </w:rPr>
        <w:footnoteRef/>
      </w:r>
      <w:r>
        <w:rPr>
          <w:rFonts w:hint="eastAsia"/>
          <w:szCs w:val="18"/>
          <w:highlight w:val="white"/>
        </w:rPr>
        <w:t xml:space="preserve"> 该数量</w:t>
      </w:r>
      <w:r>
        <w:rPr>
          <w:rFonts w:hint="eastAsia"/>
          <w:highlight w:val="white"/>
        </w:rPr>
        <w:t>的设置应避免本办法演变为经评审的最低投标价法，该数量应</w:t>
      </w:r>
      <w:r>
        <w:rPr>
          <w:rFonts w:hint="eastAsia"/>
          <w:szCs w:val="18"/>
          <w:highlight w:val="white"/>
        </w:rPr>
        <w:t>不少于3名，最高不宜超过</w:t>
      </w:r>
      <w:r>
        <w:rPr>
          <w:szCs w:val="18"/>
          <w:highlight w:val="white"/>
        </w:rPr>
        <w:t>10</w:t>
      </w:r>
      <w:r>
        <w:rPr>
          <w:rFonts w:hint="eastAsia"/>
          <w:szCs w:val="18"/>
          <w:highlight w:val="white"/>
        </w:rPr>
        <w:t>名</w:t>
      </w:r>
      <w:r>
        <w:rPr>
          <w:szCs w:val="18"/>
          <w:highlight w:val="whit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EF5FB"/>
    <w:multiLevelType w:val="singleLevel"/>
    <w:tmpl w:val="806EF5FB"/>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OTBlNzM0MWFlNGU1YzA4NGVhYjAwMDRjMDNlYWQifQ=="/>
  </w:docVars>
  <w:rsids>
    <w:rsidRoot w:val="22F909E6"/>
    <w:rsid w:val="08D5759C"/>
    <w:rsid w:val="0EBD5790"/>
    <w:rsid w:val="179F0200"/>
    <w:rsid w:val="22F909E6"/>
    <w:rsid w:val="2BD11B85"/>
    <w:rsid w:val="38516B59"/>
    <w:rsid w:val="4F7711B0"/>
    <w:rsid w:val="6347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240" w:after="240" w:line="240" w:lineRule="atLeast"/>
      <w:outlineLvl w:val="0"/>
    </w:pPr>
    <w:rPr>
      <w:rFonts w:eastAsia="黑体"/>
      <w:bCs/>
      <w:kern w:val="44"/>
      <w:sz w:val="24"/>
      <w:szCs w:val="44"/>
    </w:rPr>
  </w:style>
  <w:style w:type="paragraph" w:styleId="4">
    <w:name w:val="heading 2"/>
    <w:basedOn w:val="1"/>
    <w:next w:val="5"/>
    <w:autoRedefine/>
    <w:qFormat/>
    <w:uiPriority w:val="0"/>
    <w:pPr>
      <w:keepNext/>
      <w:keepLines/>
      <w:spacing w:before="260" w:after="260" w:line="480" w:lineRule="exact"/>
      <w:jc w:val="center"/>
      <w:outlineLvl w:val="1"/>
    </w:pPr>
    <w:rPr>
      <w:rFonts w:ascii="宋体" w:hAnsi="宋体" w:eastAsia="黑体"/>
      <w:bCs/>
      <w:i/>
      <w:iCs/>
      <w:sz w:val="24"/>
      <w:szCs w:val="2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autoRedefine/>
    <w:qFormat/>
    <w:uiPriority w:val="0"/>
    <w:pPr>
      <w:ind w:firstLine="420" w:firstLineChars="200"/>
    </w:pPr>
  </w:style>
  <w:style w:type="paragraph" w:styleId="6">
    <w:name w:val="footnote text"/>
    <w:basedOn w:val="1"/>
    <w:autoRedefine/>
    <w:qFormat/>
    <w:uiPriority w:val="0"/>
    <w:pPr>
      <w:adjustRightInd w:val="0"/>
      <w:snapToGrid w:val="0"/>
      <w:spacing w:line="420" w:lineRule="atLeast"/>
      <w:ind w:firstLine="454"/>
      <w:jc w:val="left"/>
      <w:textAlignment w:val="baseline"/>
    </w:pPr>
    <w:rPr>
      <w:kern w:val="0"/>
      <w:sz w:val="18"/>
      <w:szCs w:val="20"/>
    </w:rPr>
  </w:style>
  <w:style w:type="character" w:styleId="9">
    <w:name w:val="footnote reference"/>
    <w:autoRedefine/>
    <w:qFormat/>
    <w:uiPriority w:val="0"/>
    <w:rPr>
      <w:vertAlign w:val="superscript"/>
    </w:rPr>
  </w:style>
  <w:style w:type="paragraph" w:customStyle="1" w:styleId="10">
    <w:name w:val="Table Text"/>
    <w:basedOn w:val="1"/>
    <w:autoRedefine/>
    <w:semiHidden/>
    <w:qFormat/>
    <w:uiPriority w:val="0"/>
    <w:rPr>
      <w:rFonts w:ascii="宋体" w:hAnsi="宋体" w:eastAsia="宋体" w:cs="宋体"/>
      <w:sz w:val="21"/>
      <w:szCs w:val="21"/>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2025-03-10T05:38:00Z</dcterms:created>
  <dc:creator>Administrator</dc:creator>
  <cp:lastModifiedBy>Administrator</cp:lastModifiedBy>
  <dcterms:modified xsi:type="dcterms:W3CDTF">2025-04-07T01:55:07Z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690AE28B713244EC99EF15DCCBB42CE7_13</vt:lpwstr>
  </property>
</Properties>
</file>