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08025">
      <w:pPr>
        <w:spacing w:before="0" w:after="0" w:line="360" w:lineRule="auto"/>
        <w:jc w:val="center"/>
        <w:rPr>
          <w:rFonts w:ascii="Times New Roman" w:hAnsi="Times New Roman" w:eastAsia="方正小标宋简体" w:cs="Times New Roman"/>
          <w:b w:val="0"/>
          <w:sz w:val="44"/>
        </w:rPr>
      </w:pPr>
      <w:r>
        <w:rPr>
          <w:rFonts w:ascii="Times New Roman" w:hAnsi="Times New Roman" w:eastAsia="方正小标宋简体" w:cs="Times New Roman"/>
          <w:b w:val="0"/>
          <w:sz w:val="44"/>
        </w:rPr>
        <w:t>《辽宁省落实国家2026年老旧营运货车报废更新补贴实施细则》政策解读</w:t>
      </w:r>
    </w:p>
    <w:p w14:paraId="513B1588">
      <w:pPr>
        <w:spacing w:before="0" w:after="0" w:line="360" w:lineRule="auto"/>
        <w:jc w:val="center"/>
        <w:rPr>
          <w:rFonts w:ascii="Times New Roman" w:hAnsi="Times New Roman" w:eastAsia="方正小标宋简体" w:cs="Times New Roman"/>
          <w:b w:val="0"/>
          <w:sz w:val="44"/>
        </w:rPr>
      </w:pPr>
    </w:p>
    <w:p w14:paraId="00A4D121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为</w:t>
      </w: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确保</w:t>
      </w:r>
      <w:r>
        <w:rPr>
          <w:rFonts w:ascii="Times New Roman" w:hAnsi="Times New Roman" w:eastAsia="仿宋_GB2312" w:cs="Times New Roman"/>
          <w:b w:val="0"/>
          <w:sz w:val="32"/>
        </w:rPr>
        <w:t>《辽宁省落实国家2026年老旧营运货车报废更新补贴实施细则》（以下简称《细则》）</w:t>
      </w: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顺利实施，</w:t>
      </w:r>
      <w:r>
        <w:rPr>
          <w:rFonts w:ascii="Times New Roman" w:hAnsi="Times New Roman" w:eastAsia="仿宋_GB2312" w:cs="Times New Roman"/>
          <w:b w:val="0"/>
          <w:sz w:val="32"/>
        </w:rPr>
        <w:t>现就《细则》相关内容解读如下：</w:t>
      </w:r>
    </w:p>
    <w:p w14:paraId="55FBA036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黑体" w:cs="Times New Roman"/>
          <w:b w:val="0"/>
          <w:sz w:val="32"/>
        </w:rPr>
        <w:t>一、政策出台背景</w:t>
      </w:r>
    </w:p>
    <w:p w14:paraId="200D5D08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1.政策依据。2026年补贴政策依据《国家发展改革委 财政部关于2026年实施大规模设备更新和消费品以旧换新政策的通知》（发改环资〔2025〕1745号）、《交通运输部 国家发展改革委关于2026年实施老旧营运货车报废更新的通知》（交规划发〔2026〕36号）、《交通运输部办公厅 国家发展改革委办公厅 公安部办公厅 商务部办公厅关于印发2026年老旧营运货车报废更新工作实施细则的通知》（交办运〔2026〕29号）、《交通运输部等多部委关于印发〈推动新能源重卡规模化应用实施方案〉的通知》（交规划发〔2026〕52号）及《细则》等有关规定制定。</w:t>
      </w:r>
    </w:p>
    <w:p w14:paraId="7C69A204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2.背景衔接与政策延续。2026年补贴政策在2024年、2025年工作基础上进一步优化完善。一是延续淘汰更新方向，持续聚焦国四及以下排放标准中、重型营运货车的淘汰更新，与国家“双碳”战略及新一轮大规模设备更新要求紧密衔接。二是强化问题导向，针对前期政策执行中发现的资金额度预期管理、申请秩序等普遍性问题，进行系统性制度优化，体现政策的延续性与问题导向。</w:t>
      </w:r>
    </w:p>
    <w:p w14:paraId="5513EBFB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3.核心目标升级。在持续推动车辆升级、促进汽车消费、降低污染物排放的核心目标基础上，2026年政策更加突出流程与节奏控制的导向。一是明确额度预期，各批次资金额度提前公示，申请人可提前知晓额度规模与安排，形成明确稳定的政策预期。二是规范申请节奏，确立先预约</w:t>
      </w:r>
      <w:r>
        <w:rPr>
          <w:rFonts w:hint="eastAsia" w:ascii="Times New Roman" w:hAnsi="Times New Roman" w:eastAsia="仿宋_GB2312" w:cs="Times New Roman"/>
          <w:b w:val="0"/>
          <w:sz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成功</w:t>
      </w:r>
      <w:r>
        <w:rPr>
          <w:rFonts w:ascii="Times New Roman" w:hAnsi="Times New Roman" w:eastAsia="仿宋_GB2312" w:cs="Times New Roman"/>
          <w:b w:val="0"/>
          <w:sz w:val="32"/>
        </w:rPr>
        <w:t>后报废旧车、购置新车</w:t>
      </w:r>
      <w:r>
        <w:rPr>
          <w:rFonts w:hint="eastAsia" w:ascii="Times New Roman" w:hAnsi="Times New Roman" w:eastAsia="仿宋_GB2312" w:cs="Times New Roman"/>
          <w:b w:val="0"/>
          <w:sz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再</w:t>
      </w:r>
      <w:r>
        <w:rPr>
          <w:rFonts w:ascii="Times New Roman" w:hAnsi="Times New Roman" w:eastAsia="仿宋_GB2312" w:cs="Times New Roman"/>
          <w:b w:val="0"/>
          <w:sz w:val="32"/>
        </w:rPr>
        <w:t>申领补贴的有序流程，引导合理安排时序。三是提升治理规范与公开透明，细化部门协同与信息公开要求，推动政策执行更加规范、透明、高效。</w:t>
      </w:r>
    </w:p>
    <w:p w14:paraId="0154D733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黑体" w:cs="Times New Roman"/>
          <w:b w:val="0"/>
          <w:sz w:val="32"/>
        </w:rPr>
        <w:t>二、2026年政策主要特点与优化</w:t>
      </w:r>
    </w:p>
    <w:p w14:paraId="0A7DFB58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1.预约制成为核心机制。2026年政策建立预约制度，实行“先预约、后报废、再审核”流程。一是全程线上、自动评分，申请人通过全省统一预约平台提交申请，系统按统一规则自动评分排序，无人工干预，确保公平、公正、公开。二是额度公示、有序安排，各批次预约资金额度由各市提前确认并向社会公示，预约入围即对应本批次可用额度，申请人据以有序安排报废更新。</w:t>
      </w:r>
    </w:p>
    <w:p w14:paraId="5373ECAD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2.服务保障更加贴心。各市依托政务服务窗口设立线下服务点，配备专门工作人员，设立并公布咨询服务电话，做好政策咨询、填报指导等服务保障。线上预约平台与线下窗口衔接，提供便捷的线上线下一体化服务，帮助申请人准确理解政策、规范填报。</w:t>
      </w:r>
    </w:p>
    <w:p w14:paraId="2A155083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3.补贴范围与标准。补贴范围与2025年基本一致，涵盖辽宁籍国四及以下排放标准中、重型营运货车的报废、报废更新及新购新能源城市冷链配送货车三类情形。补贴计算方式与分档标准保持不变，优先满足新能源货车更新需求。政策实施时间为2026年1月1日至2026年12月31日。</w:t>
      </w:r>
    </w:p>
    <w:p w14:paraId="5708DC6C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4.资金管理原则重大调整。2026年资金管理由“先报先得、用完即止”调整为按额度有序预约、管控使用。一是额度挂钩预约，各市在省级切块下达的预算额度内开展预约，预约名额与当地资金额度挂钩并向社会公示，释放准确、可预期的政策信号。二是预约即对应额度，预约取得入围资格即对应本批次资金额度，可正式提交申请；由于预约已与资金额度挂钩，原则上不再出现往年那种大规模超出资金额度的申请需求，资金安排更平稳、可预期。三是超额自行承担，各市在额度内包干负责，确需超额开展的自行落实资金来源，超出部分中央、省级不再承担。</w:t>
      </w:r>
    </w:p>
    <w:p w14:paraId="04E45E9F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5.信息公开更加规范。各市通过政府门户网站、政务公众号等固定官方渠道，及时公开本市具体实施方案及咨询方式、预约操作指南、入围公示名单、审核通过名单、兑付名单等信息，并采取通俗易懂、图文并茂的方式做好政策解读与申报指导，确保申请人第一时间获取全面、准确的政策信息，主动回应社会关切。</w:t>
      </w:r>
    </w:p>
    <w:p w14:paraId="4EC9BC19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6.部门协同与监管强化。各市人民政府是本地区补贴政策的实施主体，应建立交通运输、发展改革、财政、公安、商务等多部门联合工作专班，负责政策宣贯、预约管理、申请受理、材料审核、资金兑付、咨询答疑、风险防控与维稳等全流程工作；在政策实施中加强风险研判与应急处置，将维稳与业务工作同部署、同落实。</w:t>
      </w:r>
    </w:p>
    <w:p w14:paraId="6220ADE6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黑体" w:cs="Times New Roman"/>
          <w:b w:val="0"/>
          <w:sz w:val="32"/>
        </w:rPr>
        <w:t>三、与2025年工作对比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73347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 w14:paraId="6F7F5A81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1"/>
              </w:rPr>
              <w:t>对比维度</w:t>
            </w:r>
          </w:p>
        </w:tc>
        <w:tc>
          <w:tcPr>
            <w:tcW w:w="2160" w:type="dxa"/>
            <w:vAlign w:val="center"/>
          </w:tcPr>
          <w:p w14:paraId="3909E9AF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1"/>
              </w:rPr>
              <w:t>2025年政策要点</w:t>
            </w:r>
          </w:p>
        </w:tc>
        <w:tc>
          <w:tcPr>
            <w:tcW w:w="2160" w:type="dxa"/>
            <w:vAlign w:val="center"/>
          </w:tcPr>
          <w:p w14:paraId="47E2B74F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1"/>
              </w:rPr>
              <w:t>2026年政策优化与变化</w:t>
            </w:r>
          </w:p>
        </w:tc>
        <w:tc>
          <w:tcPr>
            <w:tcW w:w="2160" w:type="dxa"/>
            <w:vAlign w:val="center"/>
          </w:tcPr>
          <w:p w14:paraId="574642B6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1"/>
              </w:rPr>
              <w:t>核心解读</w:t>
            </w:r>
          </w:p>
        </w:tc>
      </w:tr>
      <w:tr w14:paraId="10D25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 w14:paraId="142F1446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申领机制</w:t>
            </w:r>
          </w:p>
        </w:tc>
        <w:tc>
          <w:tcPr>
            <w:tcW w:w="2160" w:type="dxa"/>
            <w:vAlign w:val="center"/>
          </w:tcPr>
          <w:p w14:paraId="59476D8B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先报先得</w:t>
            </w:r>
          </w:p>
        </w:tc>
        <w:tc>
          <w:tcPr>
            <w:tcW w:w="2160" w:type="dxa"/>
            <w:vAlign w:val="center"/>
          </w:tcPr>
          <w:p w14:paraId="7CB2554E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实行预约制，先预约、后报废</w:t>
            </w:r>
            <w:r>
              <w:rPr>
                <w:rFonts w:hint="eastAsia" w:ascii="Times New Roman" w:hAnsi="Times New Roman" w:eastAsia="仿宋_GB2312" w:cs="Times New Roman"/>
                <w:b w:val="0"/>
                <w:sz w:val="21"/>
                <w:lang w:val="en-US" w:eastAsia="zh-CN"/>
              </w:rPr>
              <w:t>/更新</w:t>
            </w: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、再审核；预约全程线上，系统自动评分排序，无人工干预</w:t>
            </w:r>
          </w:p>
        </w:tc>
        <w:tc>
          <w:tcPr>
            <w:tcW w:w="2160" w:type="dxa"/>
            <w:vAlign w:val="center"/>
          </w:tcPr>
          <w:p w14:paraId="216D8BF9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从“抢报”到“有序预约”，申请秩序更规范、更公平</w:t>
            </w:r>
          </w:p>
        </w:tc>
      </w:tr>
      <w:tr w14:paraId="7AACE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 w14:paraId="0FAFDA72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资金管理</w:t>
            </w:r>
          </w:p>
        </w:tc>
        <w:tc>
          <w:tcPr>
            <w:tcW w:w="2160" w:type="dxa"/>
            <w:vAlign w:val="center"/>
          </w:tcPr>
          <w:p w14:paraId="21B2C3EE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用完即止</w:t>
            </w:r>
          </w:p>
        </w:tc>
        <w:tc>
          <w:tcPr>
            <w:tcW w:w="2160" w:type="dxa"/>
            <w:vAlign w:val="center"/>
          </w:tcPr>
          <w:p w14:paraId="29B75DBF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按额度有序预约、管控使用；预约名额与当地资金额度挂钩并公示</w:t>
            </w:r>
          </w:p>
        </w:tc>
        <w:tc>
          <w:tcPr>
            <w:tcW w:w="2160" w:type="dxa"/>
            <w:vAlign w:val="center"/>
          </w:tcPr>
          <w:p w14:paraId="480C2199">
            <w:pPr>
              <w:spacing w:before="0" w:after="0" w:line="36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额度信号准确、可预期，原则上不再出现大规模超额申请</w:t>
            </w:r>
          </w:p>
        </w:tc>
      </w:tr>
      <w:tr w14:paraId="66419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 w14:paraId="6360F4E2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服务保障</w:t>
            </w:r>
          </w:p>
        </w:tc>
        <w:tc>
          <w:tcPr>
            <w:tcW w:w="2160" w:type="dxa"/>
            <w:vAlign w:val="center"/>
          </w:tcPr>
          <w:p w14:paraId="59407CA5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未明确线上线下服务要求</w:t>
            </w:r>
          </w:p>
        </w:tc>
        <w:tc>
          <w:tcPr>
            <w:tcW w:w="2160" w:type="dxa"/>
            <w:vAlign w:val="center"/>
          </w:tcPr>
          <w:p w14:paraId="38CA6026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线下服务点、咨询电话、填报指导，线上线下一体化服务</w:t>
            </w:r>
          </w:p>
        </w:tc>
        <w:tc>
          <w:tcPr>
            <w:tcW w:w="2160" w:type="dxa"/>
            <w:vAlign w:val="center"/>
          </w:tcPr>
          <w:p w14:paraId="1035E5EC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服务更靠前、更贴心，帮助申请人规范填报</w:t>
            </w:r>
          </w:p>
        </w:tc>
      </w:tr>
      <w:tr w14:paraId="04233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 w14:paraId="024BBB58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信息公开</w:t>
            </w:r>
          </w:p>
        </w:tc>
        <w:tc>
          <w:tcPr>
            <w:tcW w:w="2160" w:type="dxa"/>
            <w:vAlign w:val="center"/>
          </w:tcPr>
          <w:p w14:paraId="1E6F71A2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未规定具体公开渠道与内容</w:t>
            </w:r>
          </w:p>
        </w:tc>
        <w:tc>
          <w:tcPr>
            <w:tcW w:w="2160" w:type="dxa"/>
            <w:vAlign w:val="center"/>
          </w:tcPr>
          <w:p w14:paraId="45F38057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政府门户、政务公众号等固定官方渠道，公开方案、预约指南、各名单</w:t>
            </w:r>
          </w:p>
        </w:tc>
        <w:tc>
          <w:tcPr>
            <w:tcW w:w="2160" w:type="dxa"/>
            <w:vAlign w:val="center"/>
          </w:tcPr>
          <w:p w14:paraId="0D065FDF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渠道固定、信息准确，确保第一时间获知全面政策</w:t>
            </w:r>
          </w:p>
        </w:tc>
      </w:tr>
      <w:tr w14:paraId="12BD4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 w14:paraId="074EE439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部门协同</w:t>
            </w:r>
          </w:p>
        </w:tc>
        <w:tc>
          <w:tcPr>
            <w:tcW w:w="2160" w:type="dxa"/>
            <w:vAlign w:val="center"/>
          </w:tcPr>
          <w:p w14:paraId="46C24F3C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可会同相关部门</w:t>
            </w:r>
          </w:p>
        </w:tc>
        <w:tc>
          <w:tcPr>
            <w:tcW w:w="2160" w:type="dxa"/>
            <w:vAlign w:val="center"/>
          </w:tcPr>
          <w:p w14:paraId="73980A80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各市人民政府建立多部门联合专班，全流程统筹</w:t>
            </w:r>
          </w:p>
        </w:tc>
        <w:tc>
          <w:tcPr>
            <w:tcW w:w="2160" w:type="dxa"/>
            <w:vAlign w:val="center"/>
          </w:tcPr>
          <w:p w14:paraId="6DD1B4B6">
            <w:pPr>
              <w:spacing w:before="0" w:after="0" w:line="360" w:lineRule="auto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1"/>
              </w:rPr>
              <w:t>协同要求刚性化，实施主体明确为各市人民政府</w:t>
            </w:r>
          </w:p>
        </w:tc>
      </w:tr>
    </w:tbl>
    <w:p w14:paraId="7759AA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0" w:line="360" w:lineRule="auto"/>
        <w:ind w:firstLine="641"/>
        <w:jc w:val="left"/>
        <w:textAlignment w:val="auto"/>
      </w:pPr>
      <w:r>
        <w:rPr>
          <w:rFonts w:ascii="Times New Roman" w:hAnsi="Times New Roman" w:eastAsia="黑体" w:cs="Times New Roman"/>
          <w:b w:val="0"/>
          <w:sz w:val="32"/>
        </w:rPr>
        <w:t>四、申请注意事项</w:t>
      </w:r>
    </w:p>
    <w:p w14:paraId="5695707F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1.关注流程。请遵循“先预约、后报废旧车、再购置新车、后申领补贴”的流程，以及“先机动车拆解注销、后营运证注销”的明确顺序。</w:t>
      </w:r>
    </w:p>
    <w:p w14:paraId="6BD6F77D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2.理解资格与额度关系。充分知悉预约入围仅代表取得本批次提交申请材料的资格，最终能否获得补贴须经实质性审核并结合实际可用资金额度确定，以各市公示的兑付名单为准。请密切关注各市官方信息发布。</w:t>
      </w:r>
    </w:p>
    <w:p w14:paraId="1AAAAF07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3.确保材料真实。申请人须对所提交全部材料的真实性和准确性负责，对于弄虚作假、套取补贴的行为，将依法依规严肃处理，追回资金并追究责任。</w:t>
      </w:r>
    </w:p>
    <w:p w14:paraId="7EC47BDD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4.把握时间节点。所有环节涉及的证明材料，其出具日期均须在2026年1月1日至12月31日的政策实施期内。</w:t>
      </w:r>
    </w:p>
    <w:p w14:paraId="3184B3AC">
      <w:pPr>
        <w:spacing w:before="0" w:after="0" w:line="360" w:lineRule="auto"/>
        <w:ind w:firstLine="640"/>
        <w:jc w:val="left"/>
      </w:pPr>
      <w:r>
        <w:rPr>
          <w:rFonts w:ascii="Times New Roman" w:hAnsi="Times New Roman" w:eastAsia="仿宋_GB2312" w:cs="Times New Roman"/>
          <w:b w:val="0"/>
          <w:sz w:val="32"/>
        </w:rPr>
        <w:t>5.预留审核与补正时间。政策实施期截至2026年12月31日，但申请材料审核及要件补正需要一定时间。建议申请人尽早提交申请，为审核和补正预留充足时间。</w:t>
      </w: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如提交申请后，因</w:t>
      </w:r>
      <w:r>
        <w:rPr>
          <w:rFonts w:ascii="Times New Roman" w:hAnsi="Times New Roman" w:eastAsia="仿宋_GB2312" w:cs="Times New Roman"/>
          <w:b w:val="0"/>
          <w:sz w:val="32"/>
        </w:rPr>
        <w:t>后续审核发现</w:t>
      </w: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问题</w:t>
      </w:r>
      <w:r>
        <w:rPr>
          <w:rFonts w:ascii="Times New Roman" w:hAnsi="Times New Roman" w:eastAsia="仿宋_GB2312" w:cs="Times New Roman"/>
          <w:b w:val="0"/>
          <w:sz w:val="32"/>
        </w:rPr>
        <w:t>需补正，</w:t>
      </w: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但</w:t>
      </w:r>
      <w:r>
        <w:rPr>
          <w:rFonts w:ascii="Times New Roman" w:hAnsi="Times New Roman" w:eastAsia="仿宋_GB2312" w:cs="Times New Roman"/>
          <w:b w:val="0"/>
          <w:sz w:val="32"/>
        </w:rPr>
        <w:t>已超出政策实施期，将不再安排补正，相应申请作废。</w:t>
      </w:r>
    </w:p>
    <w:p w14:paraId="7CE04859">
      <w:pPr>
        <w:spacing w:before="0" w:after="0" w:line="360" w:lineRule="auto"/>
        <w:ind w:firstLine="640"/>
        <w:jc w:val="left"/>
        <w:rPr>
          <w:rFonts w:ascii="Times New Roman" w:hAnsi="Times New Roman" w:eastAsia="仿宋_GB2312" w:cs="Times New Roman"/>
          <w:b w:val="0"/>
          <w:sz w:val="32"/>
        </w:rPr>
      </w:pPr>
      <w:r>
        <w:rPr>
          <w:rFonts w:ascii="Times New Roman" w:hAnsi="Times New Roman" w:eastAsia="仿宋_GB2312" w:cs="Times New Roman"/>
          <w:b w:val="0"/>
          <w:sz w:val="32"/>
        </w:rPr>
        <w:t>6.关注本市实施方案。各市人民政府结合本地实际制定具体实施方案，可就预约安排、材料受理、额度投放等提出具体要求。申请人应一并关注所在市发布的实施方案及配套通知，按本市规定办理。</w:t>
      </w:r>
    </w:p>
    <w:p w14:paraId="7AA2A9A0">
      <w:pPr>
        <w:spacing w:before="0" w:after="0" w:line="360" w:lineRule="auto"/>
        <w:ind w:firstLine="640"/>
        <w:jc w:val="left"/>
        <w:rPr>
          <w:rFonts w:ascii="Times New Roman" w:hAnsi="Times New Roman" w:eastAsia="仿宋_GB2312" w:cs="Times New Roman"/>
          <w:b w:val="0"/>
          <w:sz w:val="32"/>
        </w:rPr>
      </w:pPr>
      <w:r>
        <w:rPr>
          <w:rFonts w:hint="eastAsia" w:ascii="Times New Roman" w:hAnsi="Times New Roman" w:eastAsia="仿宋_GB2312" w:cs="Times New Roman"/>
          <w:b w:val="0"/>
          <w:sz w:val="32"/>
        </w:rPr>
        <w:t>7.已报废或已购置车辆参与预约的说明。2026年政策确立"先预约、后报废旧车（购置新车）、再申领补贴"的有序流程。对2026年1月1日政策实施以来、在预约系统开放前已先行完成车辆拆解报废或新购置的车辆，允许其参与后续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sz w:val="32"/>
        </w:rPr>
        <w:t>预约。需要向申请人说明的是，预约依托全省统一平台、按统一规则自动评分排序、无人工干预，已拆解报废或已新购置不构成优先预约事由，也不单列预留额度；如该车辆未能预约入围，将无法依据本政策申领补贴，相应风险由申请人自行承担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FW筑紫明朝 简 M">
    <w:panose1 w:val="02000600000000000000"/>
    <w:charset w:val="86"/>
    <w:family w:val="auto"/>
    <w:pitch w:val="default"/>
    <w:sig w:usb0="A00002BF" w:usb1="184F6CFA" w:usb2="00000012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Dark Courier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ark Courier">
    <w:panose1 w:val="02070409020205020404"/>
    <w:charset w:val="00"/>
    <w:family w:val="auto"/>
    <w:pitch w:val="default"/>
    <w:sig w:usb0="00000000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E42543D"/>
    <w:rsid w:val="212A2ACA"/>
    <w:rsid w:val="3B846BF0"/>
    <w:rsid w:val="589453D1"/>
    <w:rsid w:val="6A76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eastAsia="方正FW筑紫明朝 简 M" w:asciiTheme="minorHAnsi" w:hAnsiTheme="minorHAnsi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 New" w:hAnsi="Courier New" w:eastAsia="方正FW筑紫明朝 简 M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eastAsia="方正FW筑紫明朝 简 M" w:asciiTheme="minorHAnsi" w:hAnsiTheme="minorHAnsi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 New" w:hAnsi="Courier New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辽宁省交通运输厅</Company>
  <Pages>6</Pages>
  <Words>2469</Words>
  <Characters>2571</Characters>
  <Lines>0</Lines>
  <Paragraphs>0</Paragraphs>
  <TotalTime>31</TotalTime>
  <ScaleCrop>false</ScaleCrop>
  <LinksUpToDate>false</LinksUpToDate>
  <CharactersWithSpaces>2576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牛鑫淼</dc:creator>
  <cp:lastModifiedBy>牛鑫淼</cp:lastModifiedBy>
  <dcterms:modified xsi:type="dcterms:W3CDTF">2026-10-21T03:28:00Z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eyJoZGlkIjoiYTQzZGUyYmJhZWZkZjg1NGZhYTM0YTY5OWE0MjJiMDYiLCJ1c2VySWQiOiIxODQzOTM4NTMxIn0=</vt:lpwstr>
  </property>
  <property fmtid="{D5CDD505-2E9C-101B-9397-08002B2CF9AE}" pid="3" name="KSOProductBuildVer">
    <vt:lpwstr>2052-12.1.0.28505</vt:lpwstr>
  </property>
  <property fmtid="{D5CDD505-2E9C-101B-9397-08002B2CF9AE}" pid="4" name="ICV">
    <vt:lpwstr>C789D908108C4107981C5369D7B1EFA8_12</vt:lpwstr>
  </property>
</Properties>
</file>