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339F9">
      <w:pPr>
        <w:pageBreakBefore w:val="0"/>
        <w:kinsoku/>
        <w:wordWrap w:val="0"/>
        <w:bidi w:val="0"/>
        <w:spacing w:line="440" w:lineRule="exact"/>
        <w:jc w:val="center"/>
        <w:outlineLvl w:val="0"/>
        <w:rPr>
          <w:rStyle w:val="14"/>
          <w:rFonts w:hint="default" w:ascii="Times New Roman" w:hAnsi="Times New Roman" w:eastAsia="黑体" w:cs="Times New Roman"/>
          <w:color w:val="auto"/>
          <w:sz w:val="42"/>
          <w:szCs w:val="42"/>
          <w:highlight w:val="none"/>
        </w:rPr>
      </w:pPr>
      <w:bookmarkStart w:id="0" w:name="_Toc10289"/>
      <w:bookmarkStart w:id="1" w:name="_Toc8014"/>
      <w:bookmarkStart w:id="2" w:name="_Toc234832861"/>
      <w:bookmarkStart w:id="3" w:name="_Toc9806"/>
      <w:r>
        <w:rPr>
          <w:rStyle w:val="14"/>
          <w:rFonts w:hint="default" w:ascii="Times New Roman" w:hAnsi="Times New Roman" w:eastAsia="黑体" w:cs="Times New Roman"/>
          <w:color w:val="auto"/>
          <w:sz w:val="42"/>
          <w:szCs w:val="42"/>
          <w:highlight w:val="none"/>
        </w:rPr>
        <w:t>第二章  投标人须知</w:t>
      </w:r>
      <w:bookmarkEnd w:id="0"/>
      <w:bookmarkEnd w:id="1"/>
      <w:bookmarkEnd w:id="2"/>
      <w:bookmarkEnd w:id="3"/>
    </w:p>
    <w:p w14:paraId="50593822">
      <w:pPr>
        <w:pStyle w:val="2"/>
        <w:pageBreakBefore w:val="0"/>
        <w:kinsoku/>
        <w:wordWrap w:val="0"/>
        <w:bidi w:val="0"/>
        <w:spacing w:before="240" w:after="240" w:line="240" w:lineRule="atLeast"/>
        <w:outlineLvl w:val="1"/>
        <w:rPr>
          <w:rFonts w:hint="default" w:ascii="Times New Roman" w:hAnsi="Times New Roman" w:eastAsia="黑体" w:cs="Times New Roman"/>
          <w:color w:val="auto"/>
          <w:sz w:val="28"/>
          <w:szCs w:val="28"/>
          <w:highlight w:val="none"/>
        </w:rPr>
      </w:pPr>
      <w:bookmarkStart w:id="4" w:name="_Toc234832862"/>
      <w:bookmarkStart w:id="5" w:name="_Toc25406"/>
      <w:bookmarkStart w:id="6" w:name="_Toc29020"/>
      <w:bookmarkStart w:id="7" w:name="_Toc20369"/>
      <w:r>
        <w:rPr>
          <w:rFonts w:hint="default" w:ascii="Times New Roman" w:hAnsi="Times New Roman" w:eastAsia="黑体" w:cs="Times New Roman"/>
          <w:color w:val="auto"/>
          <w:sz w:val="28"/>
          <w:szCs w:val="28"/>
          <w:highlight w:val="none"/>
        </w:rPr>
        <w:t>投标人须知前附表</w:t>
      </w:r>
      <w:r>
        <w:rPr>
          <w:rStyle w:val="13"/>
          <w:rFonts w:hint="default" w:ascii="Times New Roman" w:hAnsi="Times New Roman" w:eastAsia="黑体" w:cs="Times New Roman"/>
          <w:color w:val="auto"/>
          <w:sz w:val="28"/>
          <w:szCs w:val="28"/>
          <w:highlight w:val="none"/>
        </w:rPr>
        <w:footnoteReference w:id="0"/>
      </w:r>
      <w:bookmarkEnd w:id="4"/>
      <w:bookmarkEnd w:id="5"/>
      <w:bookmarkEnd w:id="6"/>
      <w:bookmarkEnd w:id="7"/>
    </w:p>
    <w:tbl>
      <w:tblPr>
        <w:tblStyle w:val="10"/>
        <w:tblW w:w="0" w:type="auto"/>
        <w:tblInd w:w="0" w:type="dxa"/>
        <w:tblLayout w:type="fixed"/>
        <w:tblCellMar>
          <w:top w:w="0" w:type="dxa"/>
          <w:left w:w="108" w:type="dxa"/>
          <w:bottom w:w="0" w:type="dxa"/>
          <w:right w:w="108" w:type="dxa"/>
        </w:tblCellMar>
      </w:tblPr>
      <w:tblGrid>
        <w:gridCol w:w="839"/>
        <w:gridCol w:w="2135"/>
        <w:gridCol w:w="6030"/>
      </w:tblGrid>
      <w:tr w14:paraId="1B1FB36D">
        <w:tblPrEx>
          <w:tblCellMar>
            <w:top w:w="0" w:type="dxa"/>
            <w:left w:w="108" w:type="dxa"/>
            <w:bottom w:w="0" w:type="dxa"/>
            <w:right w:w="108" w:type="dxa"/>
          </w:tblCellMar>
        </w:tblPrEx>
        <w:trPr>
          <w:trHeight w:val="340" w:hRule="atLeast"/>
          <w:tblHeader/>
        </w:trPr>
        <w:tc>
          <w:tcPr>
            <w:tcW w:w="9004" w:type="dxa"/>
            <w:gridSpan w:val="3"/>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3C00D73C">
            <w:pPr>
              <w:keepNext w:val="0"/>
              <w:keepLines w:val="0"/>
              <w:pageBreakBefore w:val="0"/>
              <w:kinsoku/>
              <w:wordWrap w:val="0"/>
              <w:overflowPunct/>
              <w:autoSpaceDE/>
              <w:autoSpaceDN/>
              <w:bidi w:val="0"/>
              <w:adjustRightInd/>
              <w:spacing w:line="380" w:lineRule="exact"/>
              <w:ind w:firstLine="422" w:firstLineChars="200"/>
              <w:jc w:val="both"/>
              <w:textAlignment w:val="auto"/>
              <w:rPr>
                <w:rFonts w:hint="eastAsia" w:ascii="宋体" w:hAnsi="宋体" w:eastAsia="宋体" w:cs="宋体"/>
                <w:b/>
                <w:color w:val="auto"/>
                <w:sz w:val="24"/>
                <w:szCs w:val="24"/>
                <w:highlight w:val="none"/>
              </w:rPr>
            </w:pPr>
            <w:r>
              <w:rPr>
                <w:rFonts w:hint="default" w:ascii="Times New Roman" w:hAnsi="Times New Roman" w:cs="Times New Roman"/>
                <w:b/>
                <w:color w:val="auto"/>
                <w:sz w:val="21"/>
                <w:szCs w:val="21"/>
                <w:highlight w:val="none"/>
              </w:rPr>
              <w:t>本部分为“投标人须知前附表”，投标人应对照“投标人须知正文”中同一编号的条款一起阅读和理解，如前附表与正文不一致时，以“投标人须知前附表”的规定为准。</w:t>
            </w:r>
          </w:p>
        </w:tc>
      </w:tr>
      <w:tr w14:paraId="5DA68068">
        <w:tblPrEx>
          <w:tblCellMar>
            <w:top w:w="0" w:type="dxa"/>
            <w:left w:w="108" w:type="dxa"/>
            <w:bottom w:w="0" w:type="dxa"/>
            <w:right w:w="108" w:type="dxa"/>
          </w:tblCellMar>
        </w:tblPrEx>
        <w:trPr>
          <w:trHeight w:val="340"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4496E32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条款号</w:t>
            </w:r>
          </w:p>
        </w:tc>
        <w:tc>
          <w:tcPr>
            <w:tcW w:w="2135"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0F52F790">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条款名称</w:t>
            </w:r>
          </w:p>
        </w:tc>
        <w:tc>
          <w:tcPr>
            <w:tcW w:w="603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03ADD7C0">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编  列  内  容</w:t>
            </w:r>
          </w:p>
        </w:tc>
      </w:tr>
      <w:tr w14:paraId="59917A79">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F7EDF7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B54005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53EBBB6B">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241AAD7B">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2C86DA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00CEA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E921801">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465A182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FC991A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0CC7A5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BF59AAA">
            <w:pPr>
              <w:keepNext w:val="0"/>
              <w:keepLines w:val="0"/>
              <w:pageBreakBefore w:val="0"/>
              <w:widowControl w:val="0"/>
              <w:kinsoku/>
              <w:overflowPunct/>
              <w:topLinePunct w:val="0"/>
              <w:autoSpaceDE/>
              <w:autoSpaceDN/>
              <w:bidi w:val="0"/>
              <w:adjustRightInd/>
              <w:snapToGrid/>
              <w:spacing w:line="420" w:lineRule="exac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kern w:val="2"/>
                <w:sz w:val="24"/>
                <w:szCs w:val="24"/>
                <w:lang w:val="en-US" w:eastAsia="zh-CN" w:bidi="ar-SA"/>
              </w:rPr>
              <w:t>抚顺市国道饶盖线（沙梨沟桥）桥梁拆除重建养护工程施工、抚顺市省道平桓线（甘井子桥）桥梁拆除重建养护工程施工、抚顺市省道草开线（缪家店桥）桥梁拆除重建养护工程施工</w:t>
            </w:r>
          </w:p>
        </w:tc>
      </w:tr>
      <w:tr w14:paraId="0F92D82A">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D2562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51F125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标段建设地点</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0A2FE49">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76DC7DF5">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CA57B3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638A6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5AD4C8D5">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0BFCBAF4">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42E450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8D194C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77576852">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已落实</w:t>
            </w:r>
          </w:p>
        </w:tc>
      </w:tr>
      <w:tr w14:paraId="11B9C9A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3A92FD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6F525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8B16D03">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详见第一章“招标公告”</w:t>
            </w:r>
          </w:p>
        </w:tc>
      </w:tr>
      <w:tr w14:paraId="40B38C89">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AD8574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97E8A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98B0B02">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详见第一章“招标公告”</w:t>
            </w:r>
          </w:p>
        </w:tc>
      </w:tr>
      <w:tr w14:paraId="73CA144B">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F58CD9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DCB68C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0A1729D">
            <w:pPr>
              <w:pStyle w:val="4"/>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工程验收综合评定：合格。</w:t>
            </w:r>
          </w:p>
        </w:tc>
      </w:tr>
      <w:tr w14:paraId="58177F96">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D52844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1.3.4</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0DC6235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安全目标</w:t>
            </w:r>
            <w:r>
              <w:rPr>
                <w:rStyle w:val="13"/>
                <w:rFonts w:hint="eastAsia" w:ascii="宋体" w:hAnsi="宋体" w:eastAsia="宋体" w:cs="宋体"/>
                <w:color w:val="auto"/>
                <w:sz w:val="24"/>
                <w:szCs w:val="24"/>
                <w:highlight w:val="none"/>
              </w:rPr>
              <w:footnoteReference w:id="1"/>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D1389CB">
            <w:pPr>
              <w:pStyle w:val="4"/>
              <w:keepNext w:val="0"/>
              <w:keepLines w:val="0"/>
              <w:pageBreakBefore w:val="0"/>
              <w:widowControl w:val="0"/>
              <w:numPr>
                <w:ilvl w:val="-1"/>
                <w:numId w:val="0"/>
              </w:numPr>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杜绝较大及以上安全生产责任事故，减少一般事故，力争零责任事故。</w:t>
            </w:r>
          </w:p>
        </w:tc>
      </w:tr>
      <w:tr w14:paraId="7B3A48DC">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1BBBCF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F16FCD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投标人资质条件、能力和信誉</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9D61ED8">
            <w:pPr>
              <w:pStyle w:val="15"/>
              <w:keepNext w:val="0"/>
              <w:keepLines w:val="0"/>
              <w:pageBreakBefore w:val="0"/>
              <w:widowControl w:val="0"/>
              <w:kinsoku/>
              <w:overflowPunct/>
              <w:topLinePunct w:val="0"/>
              <w:autoSpaceDE/>
              <w:autoSpaceDN/>
              <w:bidi w:val="0"/>
              <w:adjustRightInd/>
              <w:snapToGrid/>
              <w:spacing w:line="420" w:lineRule="exact"/>
              <w:ind w:left="11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r>
              <w:rPr>
                <w:rFonts w:hint="eastAsia" w:ascii="宋体" w:hAnsi="宋体" w:eastAsia="宋体" w:cs="宋体"/>
                <w:b/>
                <w:bCs/>
                <w:color w:val="auto"/>
                <w:sz w:val="24"/>
                <w:szCs w:val="24"/>
              </w:rPr>
              <w:t>见附录1正文</w:t>
            </w:r>
          </w:p>
          <w:p w14:paraId="1D4BBE3E">
            <w:pPr>
              <w:pStyle w:val="15"/>
              <w:keepNext w:val="0"/>
              <w:keepLines w:val="0"/>
              <w:pageBreakBefore w:val="0"/>
              <w:widowControl w:val="0"/>
              <w:kinsoku/>
              <w:overflowPunct/>
              <w:topLinePunct w:val="0"/>
              <w:autoSpaceDE/>
              <w:autoSpaceDN/>
              <w:bidi w:val="0"/>
              <w:adjustRightInd/>
              <w:snapToGrid/>
              <w:spacing w:line="420" w:lineRule="exact"/>
              <w:ind w:left="11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业绩要求：</w:t>
            </w:r>
            <w:r>
              <w:rPr>
                <w:rFonts w:hint="eastAsia" w:ascii="宋体" w:hAnsi="宋体" w:eastAsia="宋体" w:cs="宋体"/>
                <w:b/>
                <w:bCs/>
                <w:color w:val="auto"/>
                <w:sz w:val="24"/>
                <w:szCs w:val="24"/>
              </w:rPr>
              <w:t>见附录2正文</w:t>
            </w:r>
          </w:p>
          <w:p w14:paraId="26C73E4E">
            <w:pPr>
              <w:pStyle w:val="15"/>
              <w:keepNext w:val="0"/>
              <w:keepLines w:val="0"/>
              <w:pageBreakBefore w:val="0"/>
              <w:widowControl w:val="0"/>
              <w:kinsoku/>
              <w:overflowPunct/>
              <w:topLinePunct w:val="0"/>
              <w:autoSpaceDE/>
              <w:autoSpaceDN/>
              <w:bidi w:val="0"/>
              <w:adjustRightInd/>
              <w:snapToGrid/>
              <w:spacing w:line="420" w:lineRule="exact"/>
              <w:ind w:left="11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w:t>
            </w:r>
            <w:r>
              <w:rPr>
                <w:rFonts w:hint="eastAsia" w:ascii="宋体" w:hAnsi="宋体" w:eastAsia="宋体" w:cs="宋体"/>
                <w:b/>
                <w:bCs/>
                <w:color w:val="auto"/>
                <w:sz w:val="24"/>
                <w:szCs w:val="24"/>
              </w:rPr>
              <w:t>见附录3正文</w:t>
            </w:r>
          </w:p>
          <w:p w14:paraId="22336B61">
            <w:pPr>
              <w:pStyle w:val="15"/>
              <w:keepNext w:val="0"/>
              <w:keepLines w:val="0"/>
              <w:pageBreakBefore w:val="0"/>
              <w:widowControl w:val="0"/>
              <w:kinsoku/>
              <w:overflowPunct/>
              <w:topLinePunct w:val="0"/>
              <w:autoSpaceDE/>
              <w:autoSpaceDN/>
              <w:bidi w:val="0"/>
              <w:adjustRightInd/>
              <w:snapToGrid/>
              <w:spacing w:line="420" w:lineRule="exact"/>
              <w:ind w:left="11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项目经理和项目总工资格要求：见</w:t>
            </w:r>
            <w:r>
              <w:rPr>
                <w:rFonts w:hint="eastAsia" w:ascii="宋体" w:hAnsi="宋体" w:eastAsia="宋体" w:cs="宋体"/>
                <w:b/>
                <w:bCs/>
                <w:color w:val="auto"/>
                <w:sz w:val="24"/>
                <w:szCs w:val="24"/>
              </w:rPr>
              <w:t>附录4正文</w:t>
            </w:r>
          </w:p>
          <w:p w14:paraId="6FB7A4AF">
            <w:pPr>
              <w:pStyle w:val="15"/>
              <w:keepNext w:val="0"/>
              <w:keepLines w:val="0"/>
              <w:pageBreakBefore w:val="0"/>
              <w:widowControl w:val="0"/>
              <w:kinsoku/>
              <w:overflowPunct/>
              <w:topLinePunct w:val="0"/>
              <w:autoSpaceDE/>
              <w:autoSpaceDN/>
              <w:bidi w:val="0"/>
              <w:adjustRightInd/>
              <w:snapToGrid/>
              <w:spacing w:line="420" w:lineRule="exact"/>
              <w:ind w:left="113"/>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其他要求：无</w:t>
            </w:r>
          </w:p>
          <w:p w14:paraId="340873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rPr>
              <w:t>投标文件“资格审查资料”各项表格后应提供的证明材料应满足本章第3.5款以及本附表后的附录表格中注解规定，如两者不一致时，</w:t>
            </w:r>
            <w:r>
              <w:rPr>
                <w:rFonts w:hint="eastAsia" w:ascii="宋体" w:hAnsi="宋体" w:eastAsia="宋体" w:cs="宋体"/>
                <w:b/>
                <w:bCs/>
                <w:color w:val="auto"/>
                <w:spacing w:val="-2"/>
                <w:sz w:val="24"/>
                <w:szCs w:val="24"/>
              </w:rPr>
              <w:t>以本附表后的附录表格中注解规定为准。</w:t>
            </w:r>
          </w:p>
        </w:tc>
      </w:tr>
      <w:tr w14:paraId="0E7AD4AE">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9F91B6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FA296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是否接受联合体投标</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5D08EC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w:t>
            </w:r>
          </w:p>
          <w:p w14:paraId="430672E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w:t>
            </w:r>
          </w:p>
        </w:tc>
      </w:tr>
      <w:tr w14:paraId="0BBA3A56">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B6EDB2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1D236F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投标人不得存在的其他关联情形</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5B22C2E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w:t>
            </w:r>
          </w:p>
        </w:tc>
      </w:tr>
      <w:tr w14:paraId="50D83A0C">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091AD63">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331A2C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投标人不得存在的其他不良状况或不良信用记录</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FAC38A0">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w:t>
            </w:r>
          </w:p>
        </w:tc>
      </w:tr>
      <w:tr w14:paraId="0727CC56">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5A48E8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3B14986">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公路工程施工资质企业名录</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D95C6B3">
            <w:pPr>
              <w:keepNext w:val="0"/>
              <w:keepLines w:val="0"/>
              <w:pageBreakBefore w:val="0"/>
              <w:kinsoku/>
              <w:wordWrap w:val="0"/>
              <w:overflowPunct/>
              <w:autoSpaceDE/>
              <w:autoSpaceDN/>
              <w:bidi w:val="0"/>
              <w:adjustRightInd/>
              <w:spacing w:line="3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本养护项目不适用</w:t>
            </w:r>
          </w:p>
        </w:tc>
      </w:tr>
      <w:tr w14:paraId="0FCDDE0C">
        <w:tblPrEx>
          <w:tblCellMar>
            <w:top w:w="0" w:type="dxa"/>
            <w:left w:w="108" w:type="dxa"/>
            <w:bottom w:w="0" w:type="dxa"/>
            <w:right w:w="108" w:type="dxa"/>
          </w:tblCellMar>
        </w:tblPrEx>
        <w:trPr>
          <w:trHeight w:val="1160" w:hRule="atLeast"/>
        </w:trPr>
        <w:tc>
          <w:tcPr>
            <w:tcW w:w="839" w:type="dxa"/>
            <w:tcBorders>
              <w:top w:val="single" w:color="auto" w:sz="4" w:space="0"/>
              <w:left w:val="single" w:color="auto" w:sz="4" w:space="0"/>
              <w:right w:val="single" w:color="auto" w:sz="4" w:space="0"/>
            </w:tcBorders>
            <w:noWrap w:val="0"/>
            <w:vAlign w:val="center"/>
          </w:tcPr>
          <w:p w14:paraId="18EE57BD">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135" w:type="dxa"/>
            <w:tcBorders>
              <w:top w:val="single" w:color="auto" w:sz="4" w:space="0"/>
              <w:left w:val="single" w:color="auto" w:sz="4" w:space="0"/>
              <w:right w:val="single" w:color="auto" w:sz="4" w:space="0"/>
            </w:tcBorders>
            <w:noWrap w:val="0"/>
            <w:vAlign w:val="center"/>
          </w:tcPr>
          <w:p w14:paraId="61AEB831">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投标人在投标预备会前提出问题</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563C6ED8">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742677AB">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5EF10E9">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68DB00B">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BFFBBC2">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本工程不允许施工分包，允许劳务合作。详见投标人须知前附表中补充的其他内容。</w:t>
            </w:r>
          </w:p>
          <w:p w14:paraId="0362C9D5">
            <w:pPr>
              <w:pStyle w:val="3"/>
              <w:keepNext w:val="0"/>
              <w:keepLines w:val="0"/>
              <w:pageBreakBefore w:val="0"/>
              <w:widowControl w:val="0"/>
              <w:kinsoku/>
              <w:wordWrap w:val="0"/>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pacing w:val="-10"/>
                <w:kern w:val="2"/>
                <w:sz w:val="24"/>
                <w:szCs w:val="24"/>
                <w:highlight w:val="none"/>
                <w:lang w:val="en-US" w:eastAsia="zh-CN" w:bidi="ar-SA"/>
              </w:rPr>
              <w:t>允许，</w:t>
            </w:r>
            <w:r>
              <w:rPr>
                <w:rFonts w:hint="eastAsia" w:ascii="宋体" w:hAnsi="宋体" w:eastAsia="宋体" w:cs="宋体"/>
                <w:color w:val="auto"/>
                <w:sz w:val="24"/>
                <w:szCs w:val="24"/>
                <w:highlight w:val="none"/>
                <w:u w:val="none"/>
              </w:rPr>
              <w:t>承包人按照合同约定或者经发包人书面同意，可以将中标项目中负面清单以外的部分单位工程、分部工程或者分项工程分包给满足相应条件的其他专业施工单位完成。</w:t>
            </w:r>
          </w:p>
        </w:tc>
      </w:tr>
      <w:tr w14:paraId="4D82BFB7">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2F5FE77">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4B0BBD9">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构成招标文件的其他资料</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5A2AC09">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详见辽宁省公共资源交易一张网电子化平台中随招标文件下载的“招标文件的其他材料”,包括：本招标文件第二章“投标人须知”全部内容、第三章“评标办法”全部内容。 </w:t>
            </w:r>
          </w:p>
          <w:p w14:paraId="3FB63AF9">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当电子系统生成的招标文件中的第二章“投标人须知”、第三章“评标办法”与“招标文件的其他材料”中对应的章节内容不一致时，以“招标文件的其他材料”中的资料为准。“招标文件的其他材料”中未约定事宜，以电子系统生成的招标文件中的第二章“投标人须知”、第三章“评标办法”为准。</w:t>
            </w:r>
          </w:p>
          <w:p w14:paraId="43DE6230">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(2)招标人在</w:t>
            </w:r>
            <w:r>
              <w:rPr>
                <w:rFonts w:hint="eastAsia" w:ascii="宋体" w:hAnsi="宋体" w:cs="宋体"/>
                <w:color w:val="auto"/>
                <w:sz w:val="24"/>
                <w:szCs w:val="24"/>
                <w:highlight w:val="none"/>
                <w:lang w:val="en-US" w:eastAsia="zh-CN"/>
              </w:rPr>
              <w:t>百度网盘</w:t>
            </w:r>
            <w:r>
              <w:rPr>
                <w:rFonts w:hint="eastAsia" w:ascii="宋体" w:hAnsi="宋体" w:eastAsia="宋体" w:cs="宋体"/>
                <w:color w:val="auto"/>
                <w:sz w:val="24"/>
                <w:szCs w:val="24"/>
                <w:highlight w:val="none"/>
              </w:rPr>
              <w:t>(链接：https://pan.baidu.com/s/1D_BxNv6WOTHYNUYFoYi19w?pwd=axa2)中，提供的与本项目招标相关的资</w:t>
            </w:r>
            <w:r>
              <w:rPr>
                <w:rFonts w:hint="eastAsia" w:ascii="宋体" w:hAnsi="宋体" w:eastAsia="宋体" w:cs="宋体"/>
                <w:color w:val="auto"/>
                <w:spacing w:val="-1"/>
                <w:sz w:val="24"/>
                <w:szCs w:val="24"/>
                <w:highlight w:val="none"/>
              </w:rPr>
              <w:t>料。</w:t>
            </w:r>
          </w:p>
        </w:tc>
      </w:tr>
      <w:tr w14:paraId="4115BEC9">
        <w:tblPrEx>
          <w:tblCellMar>
            <w:top w:w="0" w:type="dxa"/>
            <w:left w:w="108" w:type="dxa"/>
            <w:bottom w:w="0" w:type="dxa"/>
            <w:right w:w="108" w:type="dxa"/>
          </w:tblCellMar>
        </w:tblPrEx>
        <w:trPr>
          <w:trHeight w:val="880" w:hRule="atLeast"/>
        </w:trPr>
        <w:tc>
          <w:tcPr>
            <w:tcW w:w="839" w:type="dxa"/>
            <w:tcBorders>
              <w:top w:val="single" w:color="auto" w:sz="4" w:space="0"/>
              <w:left w:val="single" w:color="auto" w:sz="4" w:space="0"/>
              <w:right w:val="single" w:color="auto" w:sz="4" w:space="0"/>
            </w:tcBorders>
            <w:noWrap w:val="0"/>
            <w:vAlign w:val="center"/>
          </w:tcPr>
          <w:p w14:paraId="464C0DE6">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135" w:type="dxa"/>
            <w:tcBorders>
              <w:top w:val="single" w:color="auto" w:sz="4" w:space="0"/>
              <w:left w:val="single" w:color="auto" w:sz="4" w:space="0"/>
              <w:right w:val="single" w:color="auto" w:sz="4" w:space="0"/>
            </w:tcBorders>
            <w:noWrap w:val="0"/>
            <w:vAlign w:val="center"/>
          </w:tcPr>
          <w:p w14:paraId="1EDC16BD">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投标人要求澄清招标文件</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2FC1E61">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时间：递交投标文件截止之日</w:t>
            </w:r>
            <w:r>
              <w:rPr>
                <w:rFonts w:hint="eastAsia" w:ascii="宋体" w:hAnsi="宋体" w:eastAsia="宋体" w:cs="宋体"/>
                <w:color w:val="auto"/>
                <w:kern w:val="2"/>
                <w:sz w:val="24"/>
                <w:szCs w:val="24"/>
                <w:highlight w:val="none"/>
                <w:u w:val="single"/>
                <w:lang w:val="en-US" w:eastAsia="zh-CN" w:bidi="ar-SA"/>
              </w:rPr>
              <w:t>10</w:t>
            </w:r>
            <w:r>
              <w:rPr>
                <w:rFonts w:hint="eastAsia" w:ascii="宋体" w:hAnsi="宋体" w:eastAsia="宋体" w:cs="宋体"/>
                <w:color w:val="auto"/>
                <w:kern w:val="2"/>
                <w:sz w:val="24"/>
                <w:szCs w:val="24"/>
                <w:highlight w:val="none"/>
                <w:lang w:val="en-US" w:eastAsia="zh-CN" w:bidi="ar-SA"/>
              </w:rPr>
              <w:t>天前(以发出时间为准)</w:t>
            </w:r>
          </w:p>
          <w:p w14:paraId="5014ABB4">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形式：在查阅招标文件后如有问题，投标人应将疑问函件的电子文件(word版和带单位章的扫描版)发送至招标代理机构电子邮箱，并电话告知招标代理查收。</w:t>
            </w:r>
          </w:p>
          <w:p w14:paraId="1476A310">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除非招标人认为确有必要答复，否则，招标人有权拒绝回复投标人在本章第2.2.1项规定的时间后提出的任何澄清要求。</w:t>
            </w:r>
          </w:p>
        </w:tc>
      </w:tr>
      <w:tr w14:paraId="54A19C13">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B896F01">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48A8756">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招标文件澄清发出的形式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29E9465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电子交易平台</w:t>
            </w:r>
            <w:r>
              <w:rPr>
                <w:rFonts w:hint="eastAsia" w:ascii="宋体" w:hAnsi="宋体" w:eastAsia="宋体" w:cs="宋体"/>
                <w:color w:val="auto"/>
                <w:sz w:val="24"/>
                <w:szCs w:val="24"/>
                <w:highlight w:val="none"/>
              </w:rPr>
              <w:t>”发出招标文件澄清</w:t>
            </w:r>
          </w:p>
        </w:tc>
      </w:tr>
      <w:tr w14:paraId="4906DC36">
        <w:tblPrEx>
          <w:tblCellMar>
            <w:top w:w="0" w:type="dxa"/>
            <w:left w:w="108" w:type="dxa"/>
            <w:bottom w:w="0" w:type="dxa"/>
            <w:right w:w="108" w:type="dxa"/>
          </w:tblCellMar>
        </w:tblPrEx>
        <w:trPr>
          <w:trHeight w:val="720" w:hRule="atLeast"/>
        </w:trPr>
        <w:tc>
          <w:tcPr>
            <w:tcW w:w="839" w:type="dxa"/>
            <w:tcBorders>
              <w:top w:val="single" w:color="auto" w:sz="4" w:space="0"/>
              <w:left w:val="single" w:color="auto" w:sz="4" w:space="0"/>
              <w:right w:val="single" w:color="auto" w:sz="4" w:space="0"/>
            </w:tcBorders>
            <w:noWrap w:val="0"/>
            <w:vAlign w:val="center"/>
          </w:tcPr>
          <w:p w14:paraId="3DF187A2">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135" w:type="dxa"/>
            <w:tcBorders>
              <w:top w:val="single" w:color="auto" w:sz="4" w:space="0"/>
              <w:left w:val="single" w:color="auto" w:sz="4" w:space="0"/>
              <w:right w:val="single" w:color="auto" w:sz="4" w:space="0"/>
            </w:tcBorders>
            <w:noWrap w:val="0"/>
            <w:vAlign w:val="center"/>
          </w:tcPr>
          <w:p w14:paraId="5B0352BF">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投标人确认收到招标文件澄清</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D583F5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澄清</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电子交易平台</w:t>
            </w:r>
            <w:r>
              <w:rPr>
                <w:rFonts w:hint="eastAsia" w:ascii="宋体" w:hAnsi="宋体" w:eastAsia="宋体" w:cs="宋体"/>
                <w:color w:val="auto"/>
                <w:sz w:val="24"/>
                <w:szCs w:val="24"/>
                <w:highlight w:val="none"/>
              </w:rPr>
              <w:t>”发出完成即视为潜在投标人已收悉，无</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回函确认。</w:t>
            </w:r>
          </w:p>
        </w:tc>
      </w:tr>
      <w:tr w14:paraId="33417641">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BD46E47">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67155D2">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招标文件修改发出的形式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157B1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同本附表第2.2.2项</w:t>
            </w:r>
          </w:p>
        </w:tc>
      </w:tr>
      <w:tr w14:paraId="28872B39">
        <w:tblPrEx>
          <w:tblCellMar>
            <w:top w:w="0" w:type="dxa"/>
            <w:left w:w="108" w:type="dxa"/>
            <w:bottom w:w="0" w:type="dxa"/>
            <w:right w:w="108" w:type="dxa"/>
          </w:tblCellMar>
        </w:tblPrEx>
        <w:trPr>
          <w:trHeight w:val="720" w:hRule="atLeast"/>
        </w:trPr>
        <w:tc>
          <w:tcPr>
            <w:tcW w:w="839" w:type="dxa"/>
            <w:tcBorders>
              <w:top w:val="single" w:color="auto" w:sz="4" w:space="0"/>
              <w:left w:val="single" w:color="auto" w:sz="4" w:space="0"/>
              <w:right w:val="single" w:color="auto" w:sz="4" w:space="0"/>
            </w:tcBorders>
            <w:noWrap w:val="0"/>
            <w:vAlign w:val="center"/>
          </w:tcPr>
          <w:p w14:paraId="71926C93">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2135" w:type="dxa"/>
            <w:tcBorders>
              <w:top w:val="single" w:color="auto" w:sz="4" w:space="0"/>
              <w:left w:val="single" w:color="auto" w:sz="4" w:space="0"/>
              <w:right w:val="single" w:color="auto" w:sz="4" w:space="0"/>
            </w:tcBorders>
            <w:noWrap w:val="0"/>
            <w:vAlign w:val="center"/>
          </w:tcPr>
          <w:p w14:paraId="7AA1673D">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投标人确认收到招标文件修改</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0A826E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同本附表第2.2.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项</w:t>
            </w:r>
          </w:p>
        </w:tc>
      </w:tr>
      <w:tr w14:paraId="13BFE0D5">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64830E3">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9FAC927">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构成投标文件的其他资料</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93151A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构成投标文件的其他材料详见第九章“投标文件格式”</w:t>
            </w:r>
          </w:p>
        </w:tc>
      </w:tr>
      <w:tr w14:paraId="41EF8B9B">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1919A34">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4FA05C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C14142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pacing w:val="10"/>
                <w:sz w:val="24"/>
                <w:szCs w:val="24"/>
                <w:highlight w:val="none"/>
                <w:bdr w:val="single" w:color="auto" w:sz="4" w:space="0"/>
              </w:rPr>
            </w:pPr>
            <w:r>
              <w:rPr>
                <w:rFonts w:hint="eastAsia" w:ascii="宋体" w:hAnsi="宋体" w:eastAsia="宋体" w:cs="宋体"/>
                <w:color w:val="auto"/>
                <w:kern w:val="2"/>
                <w:sz w:val="24"/>
                <w:szCs w:val="24"/>
                <w:highlight w:val="none"/>
                <w:lang w:val="en-US" w:eastAsia="zh-CN" w:bidi="ar-SA"/>
              </w:rPr>
              <w:t>增值税税金可以按一般计税方法计算，也可以按简易计税方法计算</w:t>
            </w:r>
          </w:p>
        </w:tc>
      </w:tr>
      <w:tr w14:paraId="756329C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FF27717">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25773F5">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工程量清单的填写方式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88A820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本项目招标人将在百度网盘(链接：详见第二章“投标人须知”第2.1款)中，提供与最高投标限价相对应的已标价工程量清单。</w:t>
            </w:r>
          </w:p>
          <w:p w14:paraId="5142433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SA"/>
              </w:rPr>
              <w:t>本项目无需投标人提供与投标总价相对应的已标价工程量清单。与中标人投标报价相对应的已标价工程量清单，按本章第3.2.3项进行确定。</w:t>
            </w:r>
          </w:p>
        </w:tc>
      </w:tr>
      <w:tr w14:paraId="2E26FC35">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B1F7C0F">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EDB9F90">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F0CADA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单价</w:t>
            </w:r>
          </w:p>
          <w:p w14:paraId="462401C8">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总价，投标人只填报投标总价(X),并相对于最高投标限价形成投标系数Y=[(X-A)</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(N-A)]。投标人已标价工程量清单的各清单子目(安全生产费等不可变动的子目除外)单项报价Z直接由M*Y确定，无需投标人另行逐项填报。</w:t>
            </w:r>
          </w:p>
          <w:p w14:paraId="639E76C8">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本项目合同价格采用总价方式，中标人已标价工程量清单将作为履约过程期中计量支付的参考，并作为确定变更工作单价的依据。详见第四章“项目专用合同条款”中的相关约定。</w:t>
            </w:r>
          </w:p>
          <w:p w14:paraId="1E971640">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2ADF4D2">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①M为招标人提供的已标价工程量清单中各子目具体价格；</w:t>
            </w:r>
          </w:p>
          <w:p w14:paraId="6FB403BF">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②N为本项目最高投标限价；</w:t>
            </w:r>
          </w:p>
          <w:p w14:paraId="59203F3F">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③A为安全生产费等不可变动价款，详见“招标人提供与最高投标限价相对应的已标价工程量清单”；</w:t>
            </w:r>
          </w:p>
          <w:p w14:paraId="3655890C">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④投标系数Y为计算中标人已标价工程量清单的过程值，不约定其小数点后保留位数，根据投标系数Y计算得出的中标人已标价工程量清单中单价、合价小数点后保留两位小数，小数点后第三位“四舍五入”；</w:t>
            </w:r>
          </w:p>
          <w:p w14:paraId="66DE3327">
            <w:pPr>
              <w:pStyle w:val="15"/>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⑤如根据第④项计算的中标人已标价工程量清单合计金额与中标人投标报价不一致时，将以中标人投标报价不变为原则，对中标人已标价工程量清单个别子目单价进行细微调整。</w:t>
            </w:r>
          </w:p>
        </w:tc>
      </w:tr>
      <w:tr w14:paraId="60ACDCC8">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EA4DDAA">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7</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8E59951">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最高投标限价</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53A29C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w:t>
            </w:r>
          </w:p>
          <w:p w14:paraId="33FE1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w:t>
            </w:r>
            <w:r>
              <w:rPr>
                <w:rFonts w:hint="eastAsia" w:ascii="宋体" w:hAnsi="宋体" w:eastAsia="宋体" w:cs="宋体"/>
                <w:color w:val="auto"/>
                <w:kern w:val="2"/>
                <w:sz w:val="24"/>
                <w:szCs w:val="24"/>
                <w:highlight w:val="none"/>
                <w:lang w:val="en-US" w:eastAsia="zh-CN" w:bidi="ar-SA"/>
              </w:rPr>
              <w:t>详见本投标人须知前附表中补充的其他内容。</w:t>
            </w:r>
          </w:p>
        </w:tc>
      </w:tr>
      <w:tr w14:paraId="4A81ED27">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7B78CF5">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8</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716B7790">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E767CB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详见本投标人须知前附表中补充的其他内容。</w:t>
            </w:r>
          </w:p>
        </w:tc>
      </w:tr>
      <w:tr w14:paraId="00057F7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98EE444">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53B79E2">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F64AB6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自投标人提交投标文件截止之日起计算</w:t>
            </w:r>
            <w:r>
              <w:rPr>
                <w:rFonts w:hint="eastAsia" w:ascii="宋体" w:hAnsi="宋体" w:eastAsia="宋体" w:cs="宋体"/>
                <w:color w:val="auto"/>
                <w:kern w:val="2"/>
                <w:sz w:val="24"/>
                <w:szCs w:val="24"/>
                <w:highlight w:val="none"/>
                <w:u w:val="single"/>
                <w:lang w:val="en-US" w:eastAsia="zh-CN" w:bidi="ar-SA"/>
              </w:rPr>
              <w:t xml:space="preserve"> 90</w:t>
            </w:r>
            <w:r>
              <w:rPr>
                <w:rFonts w:hint="eastAsia" w:ascii="宋体" w:hAnsi="宋体" w:eastAsia="宋体" w:cs="宋体"/>
                <w:color w:val="auto"/>
                <w:sz w:val="24"/>
                <w:szCs w:val="24"/>
                <w:highlight w:val="none"/>
              </w:rPr>
              <w:t>日</w:t>
            </w:r>
          </w:p>
        </w:tc>
      </w:tr>
      <w:tr w14:paraId="616F7CBA">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3BCC3B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3F5ED19">
            <w:pPr>
              <w:keepNext w:val="0"/>
              <w:keepLines w:val="0"/>
              <w:pageBreakBefore w:val="0"/>
              <w:kinsoku/>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78D73C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是否要求投标人递交投标保证金：</w:t>
            </w:r>
          </w:p>
          <w:p w14:paraId="2BCD6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w:t>
            </w:r>
            <w:r>
              <w:rPr>
                <w:rFonts w:hint="eastAsia" w:ascii="宋体" w:hAnsi="宋体" w:eastAsia="宋体" w:cs="宋体"/>
                <w:color w:val="auto"/>
                <w:spacing w:val="-2"/>
                <w:sz w:val="24"/>
                <w:szCs w:val="24"/>
              </w:rPr>
              <w:t>要求：</w:t>
            </w:r>
          </w:p>
          <w:p w14:paraId="05868BFB">
            <w:pPr>
              <w:pStyle w:val="15"/>
              <w:keepNext w:val="0"/>
              <w:keepLines w:val="0"/>
              <w:pageBreakBefore w:val="0"/>
              <w:widowControl w:val="0"/>
              <w:kinsoku/>
              <w:wordWrap/>
              <w:overflowPunct/>
              <w:topLinePunct w:val="0"/>
              <w:autoSpaceDE/>
              <w:autoSpaceDN/>
              <w:bidi w:val="0"/>
              <w:adjustRightInd/>
              <w:snapToGrid/>
              <w:spacing w:line="440" w:lineRule="exact"/>
              <w:ind w:firstLine="45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投标人应按本项规定递交投标保证金，并作为其投标文件的组成</w:t>
            </w:r>
            <w:r>
              <w:rPr>
                <w:rFonts w:hint="eastAsia" w:ascii="宋体" w:hAnsi="宋体" w:eastAsia="宋体" w:cs="宋体"/>
                <w:b/>
                <w:bCs/>
                <w:color w:val="auto"/>
                <w:spacing w:val="-16"/>
                <w:sz w:val="24"/>
                <w:szCs w:val="24"/>
              </w:rPr>
              <w:t>部分。投标保证金有效期应与投标有效期一致。招标人如果按本章</w:t>
            </w:r>
            <w:r>
              <w:rPr>
                <w:rFonts w:hint="eastAsia" w:ascii="宋体" w:hAnsi="宋体" w:eastAsia="宋体" w:cs="宋体"/>
                <w:b/>
                <w:bCs/>
                <w:color w:val="auto"/>
                <w:spacing w:val="-11"/>
                <w:sz w:val="24"/>
                <w:szCs w:val="24"/>
              </w:rPr>
              <w:t>第3.3.3项的规定延长了投标有效期，则投标保证金的有效期也</w:t>
            </w:r>
            <w:r>
              <w:rPr>
                <w:rFonts w:hint="eastAsia" w:ascii="宋体" w:hAnsi="宋体" w:eastAsia="宋体" w:cs="宋体"/>
                <w:b/>
                <w:bCs/>
                <w:color w:val="auto"/>
                <w:spacing w:val="-12"/>
                <w:sz w:val="24"/>
                <w:szCs w:val="24"/>
              </w:rPr>
              <w:t>相应</w:t>
            </w:r>
            <w:r>
              <w:rPr>
                <w:rFonts w:hint="eastAsia" w:ascii="宋体" w:hAnsi="宋体" w:eastAsia="宋体" w:cs="宋体"/>
                <w:b/>
                <w:bCs/>
                <w:color w:val="auto"/>
                <w:spacing w:val="-4"/>
                <w:sz w:val="24"/>
                <w:szCs w:val="24"/>
              </w:rPr>
              <w:t>延长。</w:t>
            </w:r>
          </w:p>
          <w:p w14:paraId="23E7140F">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default" w:ascii="宋体" w:hAnsi="宋体" w:eastAsia="宋体" w:cs="宋体"/>
                <w:b/>
                <w:bCs/>
                <w:color w:val="auto"/>
                <w:sz w:val="24"/>
                <w:szCs w:val="24"/>
                <w:u w:val="single" w:color="auto"/>
                <w:lang w:val="en-US" w:eastAsia="zh-CN"/>
              </w:rPr>
            </w:pPr>
            <w:r>
              <w:rPr>
                <w:rFonts w:hint="eastAsia" w:ascii="宋体" w:hAnsi="宋体" w:eastAsia="宋体" w:cs="宋体"/>
                <w:color w:val="auto"/>
                <w:spacing w:val="-1"/>
                <w:sz w:val="24"/>
                <w:szCs w:val="24"/>
              </w:rPr>
              <w:t>(1)投标保证金的金额：</w:t>
            </w:r>
            <w:r>
              <w:rPr>
                <w:rFonts w:hint="eastAsia" w:ascii="宋体" w:hAnsi="宋体" w:eastAsia="宋体" w:cs="宋体"/>
                <w:color w:val="auto"/>
                <w:kern w:val="2"/>
                <w:sz w:val="24"/>
                <w:szCs w:val="24"/>
                <w:highlight w:val="none"/>
                <w:u w:val="single"/>
                <w:lang w:val="en-US" w:eastAsia="zh-CN" w:bidi="ar-SA"/>
              </w:rPr>
              <w:t>2万元</w:t>
            </w:r>
          </w:p>
          <w:p w14:paraId="75F8B350">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(2)投标保证金的形式</w:t>
            </w:r>
          </w:p>
          <w:p w14:paraId="58E42096">
            <w:pPr>
              <w:pStyle w:val="15"/>
              <w:keepNext w:val="0"/>
              <w:keepLines w:val="0"/>
              <w:pageBreakBefore w:val="0"/>
              <w:widowControl w:val="0"/>
              <w:kinsoku/>
              <w:wordWrap/>
              <w:overflowPunct/>
              <w:topLinePunct w:val="0"/>
              <w:autoSpaceDE/>
              <w:autoSpaceDN/>
              <w:bidi w:val="0"/>
              <w:adjustRightInd/>
              <w:snapToGrid/>
              <w:spacing w:line="440" w:lineRule="exact"/>
              <w:ind w:left="316"/>
              <w:textAlignment w:val="auto"/>
              <w:rPr>
                <w:rFonts w:hint="eastAsia" w:ascii="宋体" w:hAnsi="宋体" w:eastAsia="宋体" w:cs="宋体"/>
                <w:color w:val="auto"/>
                <w:sz w:val="24"/>
                <w:szCs w:val="24"/>
              </w:rPr>
            </w:pPr>
            <w:r>
              <w:rPr>
                <w:rFonts w:hint="eastAsia" w:ascii="宋体" w:hAnsi="宋体" w:eastAsia="宋体" w:cs="宋体"/>
                <w:b/>
                <w:bCs/>
                <w:color w:val="auto"/>
                <w:spacing w:val="-1"/>
                <w:sz w:val="24"/>
                <w:szCs w:val="24"/>
                <w:lang w:eastAsia="zh-CN"/>
              </w:rPr>
              <w:t>☑</w:t>
            </w:r>
            <w:r>
              <w:rPr>
                <w:rFonts w:hint="eastAsia" w:ascii="宋体" w:hAnsi="宋体" w:eastAsia="宋体" w:cs="宋体"/>
                <w:color w:val="auto"/>
                <w:spacing w:val="-1"/>
                <w:sz w:val="24"/>
                <w:szCs w:val="24"/>
              </w:rPr>
              <w:t>采用现金(银行电汇或网银转账或转账支票)形式：</w:t>
            </w:r>
          </w:p>
          <w:p w14:paraId="445E07F2">
            <w:pPr>
              <w:pStyle w:val="15"/>
              <w:keepNext w:val="0"/>
              <w:keepLines w:val="0"/>
              <w:pageBreakBefore w:val="0"/>
              <w:widowControl w:val="0"/>
              <w:kinsoku/>
              <w:wordWrap/>
              <w:overflowPunct/>
              <w:topLinePunct w:val="0"/>
              <w:autoSpaceDE/>
              <w:autoSpaceDN/>
              <w:bidi w:val="0"/>
              <w:adjustRightInd/>
              <w:snapToGrid/>
              <w:spacing w:line="440" w:lineRule="exact"/>
              <w:ind w:right="1"/>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投标保证金的递交截止时间为：</w:t>
            </w:r>
            <w:r>
              <w:rPr>
                <w:rFonts w:hint="eastAsia" w:ascii="宋体" w:hAnsi="宋体" w:eastAsia="宋体" w:cs="宋体"/>
                <w:b/>
                <w:bCs/>
                <w:color w:val="auto"/>
                <w:spacing w:val="-2"/>
                <w:sz w:val="24"/>
                <w:szCs w:val="24"/>
                <w:u w:val="single" w:color="auto"/>
              </w:rPr>
              <w:t>投标截止时间前(以投标保证金</w:t>
            </w:r>
            <w:r>
              <w:rPr>
                <w:rFonts w:hint="eastAsia" w:ascii="宋体" w:hAnsi="宋体" w:eastAsia="宋体" w:cs="宋体"/>
                <w:b/>
                <w:bCs/>
                <w:color w:val="auto"/>
                <w:sz w:val="24"/>
                <w:szCs w:val="24"/>
                <w:u w:val="single" w:color="auto"/>
              </w:rPr>
              <w:t>转入到招标人指定账户的时间为准)</w:t>
            </w:r>
          </w:p>
          <w:p w14:paraId="3BD80076">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招标人指定的开户银行及账号如下：</w:t>
            </w:r>
          </w:p>
          <w:p w14:paraId="630F7951">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账户名称：</w:t>
            </w:r>
            <w:r>
              <w:rPr>
                <w:rFonts w:hint="eastAsia" w:ascii="宋体" w:hAnsi="宋体" w:eastAsia="宋体" w:cs="宋体"/>
                <w:color w:val="auto"/>
                <w:sz w:val="24"/>
                <w:szCs w:val="24"/>
                <w:u w:val="single" w:color="auto"/>
              </w:rPr>
              <w:t>辽宁省公共资源交易中心</w:t>
            </w:r>
          </w:p>
          <w:p w14:paraId="14607D2B">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none" w:color="auto"/>
              </w:rPr>
              <w:t>：</w:t>
            </w:r>
            <w:r>
              <w:rPr>
                <w:rFonts w:hint="eastAsia" w:ascii="宋体" w:hAnsi="宋体" w:eastAsia="宋体" w:cs="宋体"/>
                <w:color w:val="auto"/>
                <w:sz w:val="24"/>
                <w:szCs w:val="24"/>
                <w:u w:val="single" w:color="auto"/>
              </w:rPr>
              <w:t>中国建设银行沈阳铁路支行</w:t>
            </w:r>
          </w:p>
          <w:p w14:paraId="0A3C8961">
            <w:pPr>
              <w:pStyle w:val="15"/>
              <w:keepNext w:val="0"/>
              <w:keepLines w:val="0"/>
              <w:pageBreakBefore w:val="0"/>
              <w:widowControl w:val="0"/>
              <w:kinsoku/>
              <w:wordWrap/>
              <w:overflowPunct/>
              <w:topLinePunct w:val="0"/>
              <w:autoSpaceDE/>
              <w:autoSpaceDN/>
              <w:bidi w:val="0"/>
              <w:adjustRightInd/>
              <w:snapToGrid/>
              <w:spacing w:line="440" w:lineRule="exact"/>
              <w:ind w:left="312"/>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24"/>
                <w:w w:val="87"/>
                <w:sz w:val="24"/>
                <w:szCs w:val="24"/>
              </w:rPr>
              <w:t>账</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4"/>
                <w:w w:val="87"/>
                <w:sz w:val="24"/>
                <w:szCs w:val="24"/>
              </w:rPr>
              <w:t>号</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u w:val="none" w:color="auto"/>
              </w:rPr>
              <w:t>：</w:t>
            </w:r>
            <w:r>
              <w:rPr>
                <w:rFonts w:hint="eastAsia" w:ascii="宋体" w:hAnsi="宋体" w:eastAsia="宋体" w:cs="宋体"/>
                <w:color w:val="auto"/>
                <w:sz w:val="24"/>
                <w:szCs w:val="24"/>
                <w:u w:val="single" w:color="auto"/>
              </w:rPr>
              <w:t>6232810730000754239</w:t>
            </w:r>
          </w:p>
          <w:p w14:paraId="1A399F0C">
            <w:pPr>
              <w:pStyle w:val="15"/>
              <w:keepNext w:val="0"/>
              <w:keepLines w:val="0"/>
              <w:pageBreakBefore w:val="0"/>
              <w:widowControl w:val="0"/>
              <w:kinsoku/>
              <w:wordWrap/>
              <w:overflowPunct/>
              <w:topLinePunct w:val="0"/>
              <w:autoSpaceDE/>
              <w:autoSpaceDN/>
              <w:bidi w:val="0"/>
              <w:adjustRightInd/>
              <w:snapToGrid/>
              <w:spacing w:line="440" w:lineRule="exact"/>
              <w:ind w:firstLine="446"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9"/>
                <w:sz w:val="24"/>
                <w:szCs w:val="24"/>
              </w:rPr>
              <w:t>投标保证金的汇款单位必须与投标人名称一致，且应在汇款凭证</w:t>
            </w:r>
            <w:r>
              <w:rPr>
                <w:rFonts w:hint="eastAsia" w:ascii="宋体" w:hAnsi="宋体" w:eastAsia="宋体" w:cs="宋体"/>
                <w:b/>
                <w:bCs/>
                <w:color w:val="auto"/>
                <w:spacing w:val="-8"/>
                <w:sz w:val="24"/>
                <w:szCs w:val="24"/>
              </w:rPr>
              <w:t>上注明本次招标项目信息(</w:t>
            </w:r>
            <w:r>
              <w:rPr>
                <w:rFonts w:hint="eastAsia" w:ascii="宋体" w:hAnsi="宋体" w:eastAsia="宋体" w:cs="宋体"/>
                <w:color w:val="auto"/>
                <w:kern w:val="2"/>
                <w:sz w:val="24"/>
                <w:szCs w:val="24"/>
                <w:highlight w:val="none"/>
                <w:u w:val="single"/>
                <w:lang w:val="en-US" w:eastAsia="zh-CN" w:bidi="ar-SA"/>
              </w:rPr>
              <w:t>饶盖线（沙梨沟桥）、平桓线（甘井子桥）、草开线（缪家店桥）保证金</w:t>
            </w:r>
            <w:r>
              <w:rPr>
                <w:rFonts w:hint="eastAsia" w:ascii="宋体" w:hAnsi="宋体" w:eastAsia="宋体" w:cs="宋体"/>
                <w:b/>
                <w:bCs/>
                <w:color w:val="auto"/>
                <w:spacing w:val="-8"/>
                <w:sz w:val="24"/>
                <w:szCs w:val="24"/>
              </w:rPr>
              <w:t>)。对逾</w:t>
            </w:r>
            <w:r>
              <w:rPr>
                <w:rFonts w:hint="eastAsia" w:ascii="宋体" w:hAnsi="宋体" w:eastAsia="宋体" w:cs="宋体"/>
                <w:b/>
                <w:bCs/>
                <w:color w:val="auto"/>
                <w:sz w:val="24"/>
                <w:szCs w:val="24"/>
              </w:rPr>
              <w:t>期递交(以到账时间为准)或从非投标人基本账户汇出的投标保证</w:t>
            </w:r>
            <w:r>
              <w:rPr>
                <w:rFonts w:hint="eastAsia" w:ascii="宋体" w:hAnsi="宋体" w:eastAsia="宋体" w:cs="宋体"/>
                <w:b/>
                <w:bCs/>
                <w:color w:val="auto"/>
                <w:spacing w:val="-8"/>
                <w:sz w:val="24"/>
                <w:szCs w:val="24"/>
              </w:rPr>
              <w:t>金，视为投标保证金无效。投标人应将投标</w:t>
            </w:r>
            <w:r>
              <w:rPr>
                <w:rFonts w:hint="eastAsia" w:ascii="宋体" w:hAnsi="宋体" w:eastAsia="宋体" w:cs="宋体"/>
                <w:b/>
                <w:bCs/>
                <w:color w:val="auto"/>
                <w:spacing w:val="-9"/>
                <w:sz w:val="24"/>
                <w:szCs w:val="24"/>
              </w:rPr>
              <w:t>保证金汇款凭单的彩色</w:t>
            </w:r>
            <w:r>
              <w:rPr>
                <w:rFonts w:hint="eastAsia" w:ascii="宋体" w:hAnsi="宋体" w:eastAsia="宋体" w:cs="宋体"/>
                <w:b/>
                <w:bCs/>
                <w:color w:val="auto"/>
                <w:spacing w:val="-3"/>
                <w:sz w:val="24"/>
                <w:szCs w:val="24"/>
              </w:rPr>
              <w:t>影印件附在投标文件内。</w:t>
            </w:r>
          </w:p>
          <w:p w14:paraId="00CDDB9D">
            <w:pPr>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6"/>
                <w:sz w:val="24"/>
                <w:szCs w:val="24"/>
              </w:rPr>
              <w:t>为确保在规定时间前投标保证金能到达招标人指定账户，投标人</w:t>
            </w:r>
            <w:r>
              <w:rPr>
                <w:rFonts w:hint="eastAsia" w:ascii="宋体" w:hAnsi="宋体" w:eastAsia="宋体" w:cs="宋体"/>
                <w:color w:val="auto"/>
                <w:spacing w:val="-15"/>
                <w:sz w:val="24"/>
                <w:szCs w:val="24"/>
              </w:rPr>
              <w:t>在</w:t>
            </w:r>
            <w:r>
              <w:rPr>
                <w:rFonts w:hint="eastAsia" w:ascii="宋体" w:hAnsi="宋体" w:eastAsia="宋体" w:cs="宋体"/>
                <w:color w:val="auto"/>
                <w:spacing w:val="-14"/>
                <w:sz w:val="24"/>
                <w:szCs w:val="24"/>
              </w:rPr>
              <w:t>汇款时须充分考虑银行汇款的时间误差风险，否则所造成的后</w:t>
            </w:r>
            <w:r>
              <w:rPr>
                <w:rFonts w:hint="eastAsia" w:ascii="宋体" w:hAnsi="宋体" w:eastAsia="宋体" w:cs="宋体"/>
                <w:color w:val="auto"/>
                <w:spacing w:val="-13"/>
                <w:sz w:val="24"/>
                <w:szCs w:val="24"/>
              </w:rPr>
              <w:t>果由投标人自负。</w:t>
            </w:r>
          </w:p>
          <w:p w14:paraId="232764E6">
            <w:pPr>
              <w:keepNext w:val="0"/>
              <w:keepLines w:val="0"/>
              <w:pageBreakBefore w:val="0"/>
              <w:widowControl w:val="0"/>
              <w:kinsoku/>
              <w:wordWrap/>
              <w:overflowPunct/>
              <w:topLinePunct w:val="0"/>
              <w:autoSpaceDE/>
              <w:autoSpaceDN/>
              <w:bidi w:val="0"/>
              <w:adjustRightInd/>
              <w:snapToGrid/>
              <w:spacing w:line="440" w:lineRule="exact"/>
              <w:ind w:firstLine="428" w:firstLineChars="200"/>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☑采用银行保函形式：</w:t>
            </w:r>
          </w:p>
          <w:p w14:paraId="55DE20C0">
            <w:pPr>
              <w:keepNext w:val="0"/>
              <w:keepLines w:val="0"/>
              <w:pageBreakBefore w:val="0"/>
              <w:widowControl w:val="0"/>
              <w:kinsoku/>
              <w:wordWrap/>
              <w:overflowPunct/>
              <w:topLinePunct w:val="0"/>
              <w:autoSpaceDE/>
              <w:autoSpaceDN/>
              <w:bidi w:val="0"/>
              <w:adjustRightInd/>
              <w:snapToGrid/>
              <w:spacing w:line="440" w:lineRule="exact"/>
              <w:ind w:firstLine="428" w:firstLineChars="200"/>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投标人应开具金额与投标保证金一致的保函。</w:t>
            </w:r>
          </w:p>
          <w:p w14:paraId="35DCF392">
            <w:pPr>
              <w:keepNext w:val="0"/>
              <w:keepLines w:val="0"/>
              <w:pageBreakBefore w:val="0"/>
              <w:widowControl w:val="0"/>
              <w:kinsoku/>
              <w:wordWrap/>
              <w:overflowPunct/>
              <w:topLinePunct w:val="0"/>
              <w:autoSpaceDE/>
              <w:autoSpaceDN/>
              <w:bidi w:val="0"/>
              <w:adjustRightInd/>
              <w:snapToGrid/>
              <w:spacing w:line="440" w:lineRule="exact"/>
              <w:ind w:firstLine="428" w:firstLineChars="200"/>
              <w:textAlignment w:val="auto"/>
              <w:rPr>
                <w:rFonts w:hint="eastAsia" w:ascii="宋体" w:hAnsi="宋体" w:eastAsia="宋体" w:cs="宋体"/>
                <w:color w:val="auto"/>
                <w:spacing w:val="-13"/>
                <w:sz w:val="24"/>
                <w:szCs w:val="24"/>
                <w:u w:val="single"/>
              </w:rPr>
            </w:pPr>
            <w:r>
              <w:rPr>
                <w:rFonts w:hint="eastAsia" w:ascii="宋体" w:hAnsi="宋体" w:eastAsia="宋体" w:cs="宋体"/>
                <w:color w:val="auto"/>
                <w:spacing w:val="-13"/>
                <w:sz w:val="24"/>
                <w:szCs w:val="24"/>
              </w:rPr>
              <w:t>出具保函的银行级别：</w:t>
            </w:r>
            <w:r>
              <w:rPr>
                <w:rFonts w:hint="eastAsia" w:ascii="宋体" w:hAnsi="宋体" w:eastAsia="宋体" w:cs="宋体"/>
                <w:color w:val="auto"/>
                <w:spacing w:val="-13"/>
                <w:sz w:val="24"/>
                <w:szCs w:val="24"/>
                <w:u w:val="single"/>
              </w:rPr>
              <w:t>国有商业银行或股份制商业银行的支行及其以上银行</w:t>
            </w:r>
          </w:p>
          <w:p w14:paraId="196926E2">
            <w:pPr>
              <w:pStyle w:val="15"/>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银行保函应采用招标文件提供的格式，若采用银行自有格式，其提交的银行保函内容不得对担保金额、担保范围、担保期限、担保内容作出降低担保效力的实质性修改。</w:t>
            </w:r>
          </w:p>
          <w:p w14:paraId="28F0B6D2">
            <w:pPr>
              <w:pStyle w:val="15"/>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银行保函彩色影印件及银行保函开具银行的官网网站保函验真查询截图附在投标文件内，银行保函原件应单独密封，在递交投标文件截止时间之前递交至辽宁省公共资源交易中心(沈阳市皇姑区崇山中路109号百鸟公园东侧大楼)开标会议室或在开标前1个工作日17:00前(以接收时间为准)递交(或邮寄)至</w:t>
            </w:r>
            <w:r>
              <w:rPr>
                <w:rFonts w:hint="eastAsia" w:ascii="宋体" w:hAnsi="宋体" w:eastAsia="宋体" w:cs="宋体"/>
                <w:b/>
                <w:bCs/>
                <w:color w:val="auto"/>
                <w:spacing w:val="-1"/>
                <w:sz w:val="24"/>
                <w:szCs w:val="24"/>
                <w:lang w:val="en-US" w:eastAsia="zh-CN"/>
              </w:rPr>
              <w:t>抚顺诚成建设工程招标有限公司</w:t>
            </w:r>
            <w:r>
              <w:rPr>
                <w:rFonts w:hint="eastAsia" w:ascii="宋体" w:hAnsi="宋体" w:eastAsia="宋体" w:cs="宋体"/>
                <w:b/>
                <w:bCs/>
                <w:color w:val="auto"/>
                <w:spacing w:val="-1"/>
                <w:sz w:val="24"/>
                <w:szCs w:val="24"/>
              </w:rPr>
              <w:t>(</w:t>
            </w:r>
            <w:r>
              <w:rPr>
                <w:rFonts w:hint="eastAsia" w:ascii="宋体" w:hAnsi="宋体" w:eastAsia="宋体" w:cs="宋体"/>
                <w:b/>
                <w:bCs/>
                <w:color w:val="auto"/>
                <w:spacing w:val="-1"/>
                <w:sz w:val="24"/>
                <w:szCs w:val="24"/>
                <w:lang w:val="en-US" w:eastAsia="zh-CN"/>
              </w:rPr>
              <w:t>辽宁省抚顺市顺城区浑河北路21-1号</w:t>
            </w:r>
            <w:r>
              <w:rPr>
                <w:rFonts w:hint="eastAsia" w:ascii="宋体" w:hAnsi="宋体" w:eastAsia="宋体" w:cs="宋体"/>
                <w:b/>
                <w:bCs/>
                <w:color w:val="auto"/>
                <w:spacing w:val="-1"/>
                <w:sz w:val="24"/>
                <w:szCs w:val="24"/>
              </w:rPr>
              <w:t>)(收件人：</w:t>
            </w:r>
            <w:r>
              <w:rPr>
                <w:rFonts w:hint="eastAsia" w:ascii="宋体" w:hAnsi="宋体" w:eastAsia="宋体" w:cs="宋体"/>
                <w:b/>
                <w:bCs/>
                <w:color w:val="auto"/>
                <w:spacing w:val="-1"/>
                <w:sz w:val="24"/>
                <w:szCs w:val="24"/>
                <w:lang w:val="en-US" w:eastAsia="zh-CN"/>
              </w:rPr>
              <w:t>邵女士18641328111</w:t>
            </w:r>
            <w:r>
              <w:rPr>
                <w:rFonts w:hint="eastAsia" w:ascii="宋体" w:hAnsi="宋体" w:eastAsia="宋体" w:cs="宋体"/>
                <w:b/>
                <w:bCs/>
                <w:color w:val="auto"/>
                <w:spacing w:val="-1"/>
                <w:sz w:val="24"/>
                <w:szCs w:val="24"/>
              </w:rPr>
              <w:t>)。</w:t>
            </w:r>
          </w:p>
          <w:p w14:paraId="12CA3DEA">
            <w:pPr>
              <w:pStyle w:val="15"/>
              <w:keepNext w:val="0"/>
              <w:keepLines w:val="0"/>
              <w:pageBreakBefore w:val="0"/>
              <w:widowControl w:val="0"/>
              <w:kinsoku/>
              <w:overflowPunct/>
              <w:topLinePunct w:val="0"/>
              <w:autoSpaceDE/>
              <w:autoSpaceDN/>
              <w:bidi w:val="0"/>
              <w:adjustRightInd/>
              <w:snapToGrid/>
              <w:spacing w:before="1" w:line="440" w:lineRule="exact"/>
              <w:ind w:left="336"/>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采用电子保函形式：</w:t>
            </w:r>
          </w:p>
          <w:p w14:paraId="4C68A7CC">
            <w:pPr>
              <w:pStyle w:val="15"/>
              <w:keepNext w:val="0"/>
              <w:keepLines w:val="0"/>
              <w:pageBreakBefore w:val="0"/>
              <w:widowControl w:val="0"/>
              <w:kinsoku/>
              <w:overflowPunct/>
              <w:topLinePunct w:val="0"/>
              <w:autoSpaceDE/>
              <w:autoSpaceDN/>
              <w:bidi w:val="0"/>
              <w:adjustRightInd/>
              <w:snapToGrid/>
              <w:spacing w:before="139" w:line="440" w:lineRule="exact"/>
              <w:ind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电子保函应由投标人自主选择具有金融服务担保能力的机构或国</w:t>
            </w:r>
            <w:r>
              <w:rPr>
                <w:rFonts w:hint="eastAsia" w:ascii="宋体" w:hAnsi="宋体" w:eastAsia="宋体" w:cs="宋体"/>
                <w:color w:val="auto"/>
                <w:spacing w:val="-6"/>
                <w:sz w:val="24"/>
                <w:szCs w:val="24"/>
              </w:rPr>
              <w:t>有商业银行或股份制商业银行出具，保函办</w:t>
            </w:r>
            <w:r>
              <w:rPr>
                <w:rFonts w:hint="eastAsia" w:ascii="宋体" w:hAnsi="宋体" w:eastAsia="宋体" w:cs="宋体"/>
                <w:color w:val="auto"/>
                <w:spacing w:val="-7"/>
                <w:sz w:val="24"/>
                <w:szCs w:val="24"/>
              </w:rPr>
              <w:t>理机构应提供电子化保</w:t>
            </w:r>
            <w:r>
              <w:rPr>
                <w:rFonts w:hint="eastAsia" w:ascii="宋体" w:hAnsi="宋体" w:eastAsia="宋体" w:cs="宋体"/>
                <w:color w:val="auto"/>
                <w:spacing w:val="-3"/>
                <w:sz w:val="24"/>
                <w:szCs w:val="24"/>
              </w:rPr>
              <w:t>函验真渠道和保函财务费用支付凭证(保函财务费用应从投标人基</w:t>
            </w:r>
            <w:r>
              <w:rPr>
                <w:rFonts w:hint="eastAsia" w:ascii="宋体" w:hAnsi="宋体" w:eastAsia="宋体" w:cs="宋体"/>
                <w:color w:val="auto"/>
                <w:spacing w:val="-1"/>
                <w:sz w:val="24"/>
                <w:szCs w:val="24"/>
              </w:rPr>
              <w:t>本账户支出)。</w:t>
            </w:r>
          </w:p>
          <w:p w14:paraId="7EAC7AB7">
            <w:pPr>
              <w:pStyle w:val="15"/>
              <w:keepNext w:val="0"/>
              <w:keepLines w:val="0"/>
              <w:pageBreakBefore w:val="0"/>
              <w:widowControl w:val="0"/>
              <w:kinsoku/>
              <w:overflowPunct/>
              <w:topLinePunct w:val="0"/>
              <w:autoSpaceDE/>
              <w:autoSpaceDN/>
              <w:bidi w:val="0"/>
              <w:adjustRightInd/>
              <w:snapToGrid/>
              <w:spacing w:before="130" w:line="440" w:lineRule="exact"/>
              <w:ind w:left="133" w:right="64" w:firstLine="179"/>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电子保函(或电子保函申请完成系统截图)、保函验真渠道、保函财务费用支付信息彩色影印件附在投标文件内。</w:t>
            </w:r>
          </w:p>
          <w:p w14:paraId="73841C03">
            <w:pPr>
              <w:pStyle w:val="15"/>
              <w:keepNext w:val="0"/>
              <w:keepLines w:val="0"/>
              <w:pageBreakBefore w:val="0"/>
              <w:widowControl w:val="0"/>
              <w:kinsoku/>
              <w:overflowPunct/>
              <w:topLinePunct w:val="0"/>
              <w:autoSpaceDE/>
              <w:autoSpaceDN/>
              <w:bidi w:val="0"/>
              <w:adjustRightInd/>
              <w:snapToGrid/>
              <w:spacing w:before="72" w:line="440" w:lineRule="exact"/>
              <w:ind w:right="2" w:firstLine="418" w:firstLineChars="200"/>
              <w:jc w:val="both"/>
              <w:textAlignment w:val="auto"/>
              <w:rPr>
                <w:rFonts w:hint="eastAsia" w:ascii="宋体" w:hAnsi="宋体" w:eastAsia="宋体" w:cs="宋体"/>
                <w:b/>
                <w:bCs/>
                <w:color w:val="auto"/>
                <w:spacing w:val="-2"/>
                <w:sz w:val="24"/>
                <w:szCs w:val="24"/>
              </w:rPr>
            </w:pPr>
            <w:r>
              <w:rPr>
                <w:rFonts w:hint="eastAsia" w:ascii="宋体" w:hAnsi="宋体" w:eastAsia="宋体" w:cs="宋体"/>
                <w:b/>
                <w:bCs/>
                <w:color w:val="auto"/>
                <w:spacing w:val="-16"/>
                <w:sz w:val="24"/>
                <w:szCs w:val="24"/>
              </w:rPr>
              <w:t>评标过程中招标人、评标委员会将核实保函的有效性及真实性，投</w:t>
            </w:r>
            <w:r>
              <w:rPr>
                <w:rFonts w:hint="eastAsia" w:ascii="宋体" w:hAnsi="宋体" w:eastAsia="宋体" w:cs="宋体"/>
                <w:b/>
                <w:bCs/>
                <w:color w:val="auto"/>
                <w:spacing w:val="-15"/>
                <w:sz w:val="24"/>
                <w:szCs w:val="24"/>
              </w:rPr>
              <w:t>标人应配合上述工作，如发现投标人存在弄虚作假</w:t>
            </w:r>
            <w:r>
              <w:rPr>
                <w:rFonts w:hint="eastAsia" w:ascii="宋体" w:hAnsi="宋体" w:eastAsia="宋体" w:cs="宋体"/>
                <w:b/>
                <w:bCs/>
                <w:color w:val="auto"/>
                <w:spacing w:val="-16"/>
                <w:sz w:val="24"/>
                <w:szCs w:val="24"/>
              </w:rPr>
              <w:t>行为，其投标将被</w:t>
            </w:r>
            <w:r>
              <w:rPr>
                <w:rFonts w:hint="eastAsia" w:ascii="宋体" w:hAnsi="宋体" w:eastAsia="宋体" w:cs="宋体"/>
                <w:b/>
                <w:bCs/>
                <w:color w:val="auto"/>
                <w:spacing w:val="-15"/>
                <w:sz w:val="24"/>
                <w:szCs w:val="24"/>
              </w:rPr>
              <w:t>否决，且招标人将上报省级交通运输主管部门，作为不良记</w:t>
            </w:r>
            <w:r>
              <w:rPr>
                <w:rFonts w:hint="eastAsia" w:ascii="宋体" w:hAnsi="宋体" w:eastAsia="宋体" w:cs="宋体"/>
                <w:b/>
                <w:bCs/>
                <w:color w:val="auto"/>
                <w:spacing w:val="-16"/>
                <w:sz w:val="24"/>
                <w:szCs w:val="24"/>
              </w:rPr>
              <w:t>录纳入公</w:t>
            </w:r>
            <w:r>
              <w:rPr>
                <w:rFonts w:hint="eastAsia" w:ascii="宋体" w:hAnsi="宋体" w:eastAsia="宋体" w:cs="宋体"/>
                <w:b/>
                <w:bCs/>
                <w:color w:val="auto"/>
                <w:spacing w:val="-2"/>
                <w:sz w:val="24"/>
                <w:szCs w:val="24"/>
              </w:rPr>
              <w:t>路建设市场监督管理系统。</w:t>
            </w:r>
          </w:p>
          <w:p w14:paraId="3E4BA4BE">
            <w:pPr>
              <w:pStyle w:val="15"/>
              <w:keepNext w:val="0"/>
              <w:keepLines w:val="0"/>
              <w:pageBreakBefore w:val="0"/>
              <w:widowControl w:val="0"/>
              <w:kinsoku/>
              <w:overflowPunct/>
              <w:topLinePunct w:val="0"/>
              <w:autoSpaceDE/>
              <w:autoSpaceDN/>
              <w:bidi w:val="0"/>
              <w:adjustRightInd/>
              <w:snapToGrid/>
              <w:spacing w:before="72"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□采用其他形式：</w:t>
            </w:r>
          </w:p>
          <w:p w14:paraId="3027CF58">
            <w:pPr>
              <w:pStyle w:val="15"/>
              <w:keepNext w:val="0"/>
              <w:keepLines w:val="0"/>
              <w:pageBreakBefore w:val="0"/>
              <w:widowControl w:val="0"/>
              <w:kinsoku/>
              <w:overflowPunct/>
              <w:topLinePunct w:val="0"/>
              <w:autoSpaceDE/>
              <w:autoSpaceDN/>
              <w:bidi w:val="0"/>
              <w:adjustRightInd/>
              <w:snapToGrid/>
              <w:spacing w:before="72" w:line="440" w:lineRule="exact"/>
              <w:ind w:right="2"/>
              <w:jc w:val="both"/>
              <w:textAlignment w:val="auto"/>
              <w:rPr>
                <w:rFonts w:hint="eastAsia" w:ascii="宋体" w:hAnsi="宋体" w:eastAsia="宋体" w:cs="宋体"/>
                <w:b/>
                <w:bCs/>
                <w:color w:val="auto"/>
                <w:spacing w:val="-2"/>
                <w:sz w:val="24"/>
                <w:szCs w:val="24"/>
                <w:lang w:val="en-US" w:eastAsia="zh-CN"/>
              </w:rPr>
            </w:pP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不要求</w:t>
            </w:r>
          </w:p>
        </w:tc>
      </w:tr>
      <w:tr w14:paraId="298533DF">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D33ED1B">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CB065EA">
            <w:pPr>
              <w:keepNext w:val="0"/>
              <w:keepLines w:val="0"/>
              <w:pageBreakBefore w:val="0"/>
              <w:kinsoku/>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投标保证金的退还</w:t>
            </w:r>
            <w:r>
              <w:rPr>
                <w:rFonts w:hint="eastAsia" w:ascii="宋体" w:hAnsi="宋体" w:eastAsia="宋体" w:cs="宋体"/>
                <w:color w:val="auto"/>
                <w:sz w:val="24"/>
                <w:szCs w:val="24"/>
                <w:highlight w:val="none"/>
                <w:lang w:val="en-US" w:eastAsia="zh-CN"/>
              </w:rPr>
              <w:t>时间</w:t>
            </w:r>
          </w:p>
        </w:tc>
        <w:tc>
          <w:tcPr>
            <w:tcW w:w="6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D91000">
            <w:pPr>
              <w:pStyle w:val="4"/>
              <w:keepNext w:val="0"/>
              <w:keepLines w:val="0"/>
              <w:pageBreakBefore w:val="0"/>
              <w:kinsoku/>
              <w:overflowPunct/>
              <w:autoSpaceDE/>
              <w:autoSpaceDN/>
              <w:bidi w:val="0"/>
              <w:adjustRightInd/>
              <w:spacing w:line="38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投标保证金由公共资源交易管理机构收取，投标保证金的退还时间从其相关规定。</w:t>
            </w:r>
          </w:p>
        </w:tc>
      </w:tr>
      <w:tr w14:paraId="06E1B67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2971B">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3.4.3</w:t>
            </w:r>
          </w:p>
        </w:tc>
        <w:tc>
          <w:tcPr>
            <w:tcW w:w="21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8FA05">
            <w:pPr>
              <w:keepNext w:val="0"/>
              <w:keepLines w:val="0"/>
              <w:pageBreakBefore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投标保证金利息计算原则</w:t>
            </w:r>
          </w:p>
        </w:tc>
        <w:tc>
          <w:tcPr>
            <w:tcW w:w="6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1E65D">
            <w:pPr>
              <w:pStyle w:val="4"/>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投标保证金由公共资源交易管理机构收取，投标保证金利息计算原则从其相关规定。</w:t>
            </w:r>
          </w:p>
        </w:tc>
      </w:tr>
      <w:tr w14:paraId="1275C996">
        <w:tblPrEx>
          <w:tblCellMar>
            <w:top w:w="0" w:type="dxa"/>
            <w:left w:w="108" w:type="dxa"/>
            <w:bottom w:w="0" w:type="dxa"/>
            <w:right w:w="108" w:type="dxa"/>
          </w:tblCellMar>
        </w:tblPrEx>
        <w:trPr>
          <w:trHeight w:val="4782"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3DBAFA0">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6E2095D">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6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26A77">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有下列情形之一的，投标保证金将不予退还：</w:t>
            </w:r>
          </w:p>
          <w:p w14:paraId="1CC21068">
            <w:pPr>
              <w:keepNext w:val="0"/>
              <w:keepLines w:val="0"/>
              <w:pageBreakBefore w:val="0"/>
              <w:widowControl/>
              <w:suppressLineNumbers w:val="0"/>
              <w:kinsoku/>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(1)投标人在投标有效期内撤销投标文件，包括在收到中标通知书前放弃中标候选人资格的情形；</w:t>
            </w:r>
          </w:p>
          <w:p w14:paraId="49416D9A">
            <w:pPr>
              <w:keepNext w:val="0"/>
              <w:keepLines w:val="0"/>
              <w:pageBreakBefore w:val="0"/>
              <w:widowControl/>
              <w:suppressLineNumbers w:val="0"/>
              <w:kinsoku/>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(2)中标人在收到中标通知书后，无正当理由不与招标人订立合同，在签订合同时向招标人提出附加条件，或不按照招标文件要求提交履约保证金。</w:t>
            </w:r>
          </w:p>
          <w:p w14:paraId="6EBF9265">
            <w:pPr>
              <w:keepNext w:val="0"/>
              <w:keepLines w:val="0"/>
              <w:pageBreakBefore w:val="0"/>
              <w:widowControl/>
              <w:suppressLineNumbers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有下列情形之一的，投标保证金可不予退还：</w:t>
            </w:r>
          </w:p>
          <w:p w14:paraId="2A7CDE5B">
            <w:pPr>
              <w:keepNext w:val="0"/>
              <w:keepLines w:val="0"/>
              <w:pageBreakBefore w:val="0"/>
              <w:widowControl/>
              <w:suppressLineNumbers w:val="0"/>
              <w:kinsoku/>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(1)投标人提交了虚假资料；</w:t>
            </w:r>
          </w:p>
          <w:p w14:paraId="06A3C70F">
            <w:pPr>
              <w:keepNext w:val="0"/>
              <w:keepLines w:val="0"/>
              <w:pageBreakBefore w:val="0"/>
              <w:widowControl/>
              <w:suppressLineNumbers w:val="0"/>
              <w:kinsoku/>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(2)投标人有串标、围标、“挂靠”其他单位参与投标，贿赂评标专家或招标工作人员，以及其他违反国家招标投标法律法规的行为</w:t>
            </w:r>
            <w:r>
              <w:rPr>
                <w:rFonts w:hint="eastAsia" w:ascii="宋体" w:hAnsi="宋体" w:cs="宋体"/>
                <w:color w:val="auto"/>
                <w:kern w:val="2"/>
                <w:sz w:val="24"/>
                <w:szCs w:val="24"/>
                <w:u w:val="none"/>
                <w:lang w:val="en-US" w:eastAsia="zh-CN" w:bidi="ar-SA"/>
              </w:rPr>
              <w:t>。</w:t>
            </w:r>
          </w:p>
        </w:tc>
      </w:tr>
      <w:tr w14:paraId="6BBCDBBD">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C6EB4B7">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81F273A">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资格审查资料的特殊要求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7FF3C78F">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w:t>
            </w:r>
          </w:p>
          <w:p w14:paraId="50F76AA9">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有，具体要求：</w:t>
            </w:r>
            <w:r>
              <w:rPr>
                <w:rFonts w:hint="eastAsia" w:ascii="宋体" w:hAnsi="宋体" w:eastAsia="宋体" w:cs="宋体"/>
                <w:b w:val="0"/>
                <w:bCs w:val="0"/>
                <w:color w:val="auto"/>
                <w:sz w:val="24"/>
                <w:szCs w:val="24"/>
                <w:highlight w:val="none"/>
              </w:rPr>
              <w:t>投标人提交的资格审查资料应满足本章第3.5款以及本附表后的附录表格中注解规定，如两者不一致时，以本附表后的附录表格中注解规定为准。</w:t>
            </w:r>
          </w:p>
        </w:tc>
      </w:tr>
      <w:tr w14:paraId="48473018">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AC63AFE">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AE3EB4B">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近年财务状况的年份要求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48E43B5">
            <w:pPr>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w:t>
            </w:r>
          </w:p>
        </w:tc>
      </w:tr>
      <w:tr w14:paraId="7B2DA974">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38A42E5">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EEE6E7F">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近年完成的类似项目情况的时间要求</w:t>
            </w:r>
          </w:p>
        </w:tc>
        <w:tc>
          <w:tcPr>
            <w:tcW w:w="6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627ED">
            <w:pPr>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r w14:paraId="14223262">
        <w:tblPrEx>
          <w:tblCellMar>
            <w:top w:w="0" w:type="dxa"/>
            <w:left w:w="108" w:type="dxa"/>
            <w:bottom w:w="0" w:type="dxa"/>
            <w:right w:w="108" w:type="dxa"/>
          </w:tblCellMar>
        </w:tblPrEx>
        <w:trPr>
          <w:trHeight w:val="98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4346D1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765B20A">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1213F9C">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218FFCAA">
            <w:pPr>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允许</w:t>
            </w:r>
          </w:p>
        </w:tc>
      </w:tr>
      <w:tr w14:paraId="237BC60F">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15F6E6A">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5</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8933DAD">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2F576A37">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投标人应在规定的投标截止时间前，通过互联网</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CA数字证书登录“</w:t>
            </w:r>
            <w:r>
              <w:rPr>
                <w:rFonts w:hint="eastAsia" w:ascii="宋体" w:hAnsi="宋体" w:eastAsia="宋体" w:cs="宋体"/>
                <w:color w:val="auto"/>
                <w:sz w:val="24"/>
                <w:szCs w:val="24"/>
                <w:highlight w:val="none"/>
                <w:lang w:eastAsia="zh-CN"/>
              </w:rPr>
              <w:t>电子交易平台</w:t>
            </w:r>
            <w:r>
              <w:rPr>
                <w:rFonts w:hint="eastAsia" w:ascii="宋体" w:hAnsi="宋体" w:eastAsia="宋体" w:cs="宋体"/>
                <w:color w:val="auto"/>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auto"/>
                <w:sz w:val="24"/>
                <w:szCs w:val="24"/>
                <w:highlight w:val="none"/>
                <w:lang w:eastAsia="zh-CN"/>
              </w:rPr>
              <w:t>电子交易平台</w:t>
            </w:r>
            <w:r>
              <w:rPr>
                <w:rFonts w:hint="eastAsia" w:ascii="宋体" w:hAnsi="宋体" w:eastAsia="宋体" w:cs="宋体"/>
                <w:color w:val="auto"/>
                <w:sz w:val="24"/>
                <w:szCs w:val="24"/>
                <w:highlight w:val="none"/>
              </w:rPr>
              <w:t>”）将拒绝接收。</w:t>
            </w:r>
          </w:p>
        </w:tc>
      </w:tr>
      <w:tr w14:paraId="0FA4DFF0">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D0265E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6</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80D6E09">
            <w:pPr>
              <w:keepNext w:val="0"/>
              <w:keepLines w:val="0"/>
              <w:pageBreakBefore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kern w:val="2"/>
                <w:sz w:val="24"/>
                <w:szCs w:val="24"/>
                <w:lang w:val="en-US" w:eastAsia="zh-CN" w:bidi="ar-SA"/>
              </w:rPr>
              <w:t>投标文件其他要求</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4D1F192">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本项目采用电子招标投标形式，投标期间不需提供纸质投标文件。中标人在合同签订前需向招标人提交资料：</w:t>
            </w:r>
          </w:p>
          <w:p w14:paraId="0F90C4F0">
            <w:pPr>
              <w:pStyle w:val="4"/>
              <w:keepNext w:val="0"/>
              <w:keepLines w:val="0"/>
              <w:pageBreakBefore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□纸质版投标文件： / 套；</w:t>
            </w:r>
          </w:p>
          <w:p w14:paraId="7F0FFB35">
            <w:pPr>
              <w:pStyle w:val="4"/>
              <w:keepNext w:val="0"/>
              <w:keepLines w:val="0"/>
              <w:pageBreakBefore w:val="0"/>
              <w:kinsoku/>
              <w:wordWrap w:val="0"/>
              <w:overflowPunct/>
              <w:topLinePunct w:val="0"/>
              <w:autoSpaceDE/>
              <w:autoSpaceDN/>
              <w:bidi w:val="0"/>
              <w:adjustRightInd/>
              <w:snapToGrid/>
              <w:spacing w:line="42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□电子版投标文件，具体要求为： / 。</w:t>
            </w:r>
          </w:p>
        </w:tc>
      </w:tr>
      <w:tr w14:paraId="6C3B3B69">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554A33A4">
            <w:pPr>
              <w:pStyle w:val="15"/>
              <w:keepNext w:val="0"/>
              <w:keepLines w:val="0"/>
              <w:pageBreakBefore w:val="0"/>
              <w:kinsoku/>
              <w:overflowPunct/>
              <w:autoSpaceDE/>
              <w:autoSpaceDN/>
              <w:bidi w:val="0"/>
              <w:adjustRightInd/>
              <w:spacing w:before="71" w:line="380" w:lineRule="exact"/>
              <w:ind w:left="304"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rPr>
              <w:t>4.1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CD0B6AF">
            <w:pPr>
              <w:pStyle w:val="15"/>
              <w:keepNext w:val="0"/>
              <w:keepLines w:val="0"/>
              <w:pageBreakBefore w:val="0"/>
              <w:kinsoku/>
              <w:overflowPunct/>
              <w:autoSpaceDE/>
              <w:autoSpaceDN/>
              <w:bidi w:val="0"/>
              <w:adjustRightInd/>
              <w:spacing w:before="71"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rPr>
              <w:t>银行保函的密封</w:t>
            </w:r>
          </w:p>
        </w:tc>
        <w:tc>
          <w:tcPr>
            <w:tcW w:w="6030" w:type="dxa"/>
            <w:tcBorders>
              <w:top w:val="single" w:color="auto" w:sz="4" w:space="0"/>
              <w:left w:val="single" w:color="auto" w:sz="4" w:space="0"/>
              <w:bottom w:val="single" w:color="auto" w:sz="4" w:space="0"/>
              <w:right w:val="single" w:color="auto" w:sz="4" w:space="0"/>
            </w:tcBorders>
            <w:noWrap w:val="0"/>
            <w:vAlign w:val="top"/>
          </w:tcPr>
          <w:p w14:paraId="59B2AAE7">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7"/>
                <w:sz w:val="24"/>
                <w:szCs w:val="24"/>
              </w:rPr>
              <w:t>采用银</w:t>
            </w:r>
            <w:r>
              <w:rPr>
                <w:rFonts w:hint="eastAsia" w:ascii="宋体" w:hAnsi="宋体" w:eastAsia="宋体" w:cs="宋体"/>
                <w:color w:val="auto"/>
                <w:spacing w:val="0"/>
                <w:sz w:val="24"/>
                <w:szCs w:val="24"/>
              </w:rPr>
              <w:t>行保函形式提交投标保证金的，银行保函原件应密封在单独的封套中，单独递交。</w:t>
            </w:r>
          </w:p>
          <w:p w14:paraId="1D851875">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b/>
                <w:bCs/>
                <w:color w:val="auto"/>
                <w:spacing w:val="0"/>
                <w:sz w:val="24"/>
                <w:szCs w:val="24"/>
              </w:rPr>
              <w:t>封套上均应加贴封条，封套的封口处均应加盖投标人单位章或由投标人的法定代表人或其委托代理人签字。</w:t>
            </w:r>
          </w:p>
          <w:p w14:paraId="0C27F3DC">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b/>
                <w:bCs/>
                <w:color w:val="auto"/>
                <w:spacing w:val="0"/>
                <w:sz w:val="24"/>
                <w:szCs w:val="24"/>
              </w:rPr>
              <w:t>银行保函(如有)封套：</w:t>
            </w:r>
          </w:p>
          <w:p w14:paraId="4D83F49F">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招标人名称： </w:t>
            </w:r>
            <w:r>
              <w:rPr>
                <w:rFonts w:hint="eastAsia" w:ascii="宋体" w:hAnsi="宋体" w:eastAsia="宋体" w:cs="宋体"/>
                <w:color w:val="auto"/>
                <w:spacing w:val="0"/>
                <w:sz w:val="24"/>
                <w:szCs w:val="24"/>
                <w:u w:val="single" w:color="auto"/>
              </w:rPr>
              <w:t xml:space="preserve">                     </w:t>
            </w:r>
          </w:p>
          <w:p w14:paraId="55A7CC6A">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招标人地址：</w:t>
            </w:r>
            <w:r>
              <w:rPr>
                <w:rFonts w:hint="eastAsia" w:ascii="宋体" w:hAnsi="宋体" w:eastAsia="宋体" w:cs="宋体"/>
                <w:color w:val="auto"/>
                <w:spacing w:val="0"/>
                <w:sz w:val="24"/>
                <w:szCs w:val="24"/>
                <w:u w:val="single" w:color="auto"/>
              </w:rPr>
              <w:t xml:space="preserve">                  </w:t>
            </w:r>
          </w:p>
          <w:p w14:paraId="7C26608C">
            <w:pPr>
              <w:pStyle w:val="15"/>
              <w:keepNext w:val="0"/>
              <w:keepLines w:val="0"/>
              <w:pageBreakBefore w:val="0"/>
              <w:widowControl w:val="0"/>
              <w:tabs>
                <w:tab w:val="left" w:pos="733"/>
              </w:tabs>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u w:val="single" w:color="auto"/>
              </w:rPr>
              <w:tab/>
            </w:r>
            <w:r>
              <w:rPr>
                <w:rFonts w:hint="eastAsia" w:ascii="宋体" w:hAnsi="宋体" w:eastAsia="宋体" w:cs="宋体"/>
                <w:color w:val="auto"/>
                <w:spacing w:val="0"/>
                <w:sz w:val="24"/>
                <w:szCs w:val="24"/>
                <w:u w:val="single" w:color="auto"/>
              </w:rPr>
              <w:tab/>
            </w:r>
            <w:r>
              <w:rPr>
                <w:rFonts w:hint="eastAsia" w:ascii="宋体" w:hAnsi="宋体" w:eastAsia="宋体" w:cs="宋体"/>
                <w:color w:val="auto"/>
                <w:spacing w:val="0"/>
                <w:sz w:val="24"/>
                <w:szCs w:val="24"/>
              </w:rPr>
              <w:t xml:space="preserve"> (项目名称)招标投标保证金(银行保函原件) </w:t>
            </w:r>
          </w:p>
          <w:p w14:paraId="0361EB4D">
            <w:pPr>
              <w:pStyle w:val="15"/>
              <w:keepNext w:val="0"/>
              <w:keepLines w:val="0"/>
              <w:pageBreakBefore w:val="0"/>
              <w:widowControl w:val="0"/>
              <w:tabs>
                <w:tab w:val="left" w:pos="733"/>
              </w:tabs>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u w:val="single"/>
                <w:lang w:val="en-US" w:eastAsia="zh-CN"/>
              </w:rPr>
            </w:pPr>
            <w:r>
              <w:rPr>
                <w:rFonts w:hint="eastAsia" w:ascii="宋体" w:hAnsi="宋体" w:eastAsia="宋体" w:cs="宋体"/>
                <w:color w:val="auto"/>
                <w:spacing w:val="0"/>
                <w:sz w:val="24"/>
                <w:szCs w:val="24"/>
              </w:rPr>
              <w:t>招标项目编号：</w:t>
            </w:r>
            <w:r>
              <w:rPr>
                <w:rFonts w:hint="eastAsia" w:ascii="宋体" w:hAnsi="宋体" w:eastAsia="宋体" w:cs="宋体"/>
                <w:color w:val="auto"/>
                <w:spacing w:val="0"/>
                <w:sz w:val="24"/>
                <w:szCs w:val="24"/>
                <w:u w:val="single"/>
                <w:lang w:val="en-US" w:eastAsia="zh-CN"/>
              </w:rPr>
              <w:t xml:space="preserve">                </w:t>
            </w:r>
          </w:p>
          <w:p w14:paraId="18269877">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u w:val="single"/>
                <w:lang w:val="en-US" w:eastAsia="zh-CN"/>
              </w:rPr>
            </w:pPr>
            <w:r>
              <w:rPr>
                <w:rFonts w:hint="eastAsia" w:ascii="宋体" w:hAnsi="宋体" w:eastAsia="宋体" w:cs="宋体"/>
                <w:color w:val="auto"/>
                <w:spacing w:val="0"/>
                <w:sz w:val="24"/>
                <w:szCs w:val="24"/>
              </w:rPr>
              <w:t>投标人名称(盖章):</w:t>
            </w:r>
            <w:r>
              <w:rPr>
                <w:rFonts w:hint="eastAsia" w:ascii="宋体" w:hAnsi="宋体" w:eastAsia="宋体" w:cs="宋体"/>
                <w:color w:val="auto"/>
                <w:spacing w:val="0"/>
                <w:sz w:val="24"/>
                <w:szCs w:val="24"/>
                <w:u w:val="single"/>
                <w:lang w:val="en-US" w:eastAsia="zh-CN"/>
              </w:rPr>
              <w:t xml:space="preserve">             </w:t>
            </w:r>
          </w:p>
          <w:p w14:paraId="705D0851">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u w:val="single"/>
                <w:lang w:val="en-US" w:eastAsia="zh-CN"/>
              </w:rPr>
            </w:pPr>
            <w:r>
              <w:rPr>
                <w:rFonts w:hint="eastAsia" w:ascii="宋体" w:hAnsi="宋体" w:eastAsia="宋体" w:cs="宋体"/>
                <w:color w:val="auto"/>
                <w:spacing w:val="0"/>
                <w:sz w:val="24"/>
                <w:szCs w:val="24"/>
              </w:rPr>
              <w:t>投标人地址：</w:t>
            </w:r>
            <w:r>
              <w:rPr>
                <w:rFonts w:hint="eastAsia" w:ascii="宋体" w:hAnsi="宋体" w:eastAsia="宋体" w:cs="宋体"/>
                <w:color w:val="auto"/>
                <w:spacing w:val="0"/>
                <w:sz w:val="24"/>
                <w:szCs w:val="24"/>
                <w:u w:val="single"/>
                <w:lang w:val="en-US" w:eastAsia="zh-CN"/>
              </w:rPr>
              <w:t xml:space="preserve">                  </w:t>
            </w:r>
          </w:p>
          <w:p w14:paraId="3CFDB359">
            <w:pPr>
              <w:pStyle w:val="15"/>
              <w:keepNext w:val="0"/>
              <w:keepLines w:val="0"/>
              <w:pageBreakBefore w:val="0"/>
              <w:widowControl w:val="0"/>
              <w:kinsoku/>
              <w:wordWrap/>
              <w:overflowPunct/>
              <w:topLinePunct w:val="0"/>
              <w:autoSpaceDE/>
              <w:autoSpaceDN/>
              <w:bidi w:val="0"/>
              <w:adjustRightInd/>
              <w:snapToGrid/>
              <w:spacing w:line="380" w:lineRule="exact"/>
              <w:ind w:left="0" w:right="0"/>
              <w:textAlignment w:val="auto"/>
              <w:rPr>
                <w:rFonts w:hint="eastAsia" w:ascii="宋体" w:hAnsi="宋体" w:eastAsia="宋体" w:cs="宋体"/>
                <w:color w:val="auto"/>
                <w:spacing w:val="0"/>
                <w:sz w:val="24"/>
                <w:szCs w:val="24"/>
                <w:u w:val="single"/>
                <w:lang w:val="en-US" w:eastAsia="zh-CN"/>
              </w:rPr>
            </w:pPr>
            <w:r>
              <w:rPr>
                <w:rFonts w:hint="eastAsia" w:ascii="宋体" w:hAnsi="宋体" w:eastAsia="宋体" w:cs="宋体"/>
                <w:color w:val="auto"/>
                <w:spacing w:val="0"/>
                <w:sz w:val="24"/>
                <w:szCs w:val="24"/>
              </w:rPr>
              <w:t>投标人联系人：</w:t>
            </w:r>
            <w:r>
              <w:rPr>
                <w:rFonts w:hint="eastAsia" w:ascii="宋体" w:hAnsi="宋体" w:eastAsia="宋体" w:cs="宋体"/>
                <w:color w:val="auto"/>
                <w:spacing w:val="0"/>
                <w:sz w:val="24"/>
                <w:szCs w:val="24"/>
                <w:u w:val="single"/>
                <w:lang w:val="en-US" w:eastAsia="zh-CN"/>
              </w:rPr>
              <w:t xml:space="preserve">                </w:t>
            </w:r>
          </w:p>
          <w:p w14:paraId="17590113">
            <w:pPr>
              <w:pStyle w:val="15"/>
              <w:keepNext w:val="0"/>
              <w:keepLines w:val="0"/>
              <w:pageBreakBefore w:val="0"/>
              <w:widowControl w:val="0"/>
              <w:kinsoku/>
              <w:wordWrap/>
              <w:overflowPunct/>
              <w:topLinePunct w:val="0"/>
              <w:autoSpaceDE/>
              <w:autoSpaceDN/>
              <w:bidi w:val="0"/>
              <w:adjustRightInd/>
              <w:snapToGrid/>
              <w:spacing w:line="380" w:lineRule="exact"/>
              <w:ind w:left="0" w:leftChars="0" w:right="0"/>
              <w:textAlignment w:val="auto"/>
              <w:rPr>
                <w:rFonts w:hint="eastAsia" w:ascii="宋体" w:hAnsi="宋体" w:eastAsia="宋体" w:cs="宋体"/>
                <w:color w:val="auto"/>
                <w:spacing w:val="-6"/>
                <w:sz w:val="24"/>
                <w:szCs w:val="24"/>
                <w:u w:val="single"/>
                <w:lang w:val="en-US" w:eastAsia="zh-CN"/>
              </w:rPr>
            </w:pPr>
            <w:r>
              <w:rPr>
                <w:rFonts w:hint="eastAsia" w:ascii="宋体" w:hAnsi="宋体" w:eastAsia="宋体" w:cs="宋体"/>
                <w:color w:val="auto"/>
                <w:spacing w:val="0"/>
                <w:sz w:val="24"/>
                <w:szCs w:val="24"/>
              </w:rPr>
              <w:t>投标人联系电话：</w:t>
            </w:r>
            <w:r>
              <w:rPr>
                <w:rFonts w:hint="eastAsia" w:ascii="宋体" w:hAnsi="宋体" w:eastAsia="宋体" w:cs="宋体"/>
                <w:color w:val="auto"/>
                <w:spacing w:val="0"/>
                <w:sz w:val="24"/>
                <w:szCs w:val="24"/>
                <w:u w:val="single"/>
                <w:lang w:val="en-US" w:eastAsia="zh-CN"/>
              </w:rPr>
              <w:t xml:space="preserve">              </w:t>
            </w:r>
          </w:p>
        </w:tc>
      </w:tr>
      <w:tr w14:paraId="608F26CF">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96CD3B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0160D41">
            <w:pPr>
              <w:keepNext w:val="0"/>
              <w:keepLines w:val="0"/>
              <w:pageBreakBefore w:val="0"/>
              <w:shd w:val="clear"/>
              <w:kinsoku/>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开标时间和地点</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79F5D1AB">
            <w:pPr>
              <w:keepNext w:val="0"/>
              <w:keepLines w:val="0"/>
              <w:pageBreakBefore w:val="0"/>
              <w:shd w:val="clear"/>
              <w:kinsoku/>
              <w:overflowPunct/>
              <w:autoSpaceDE/>
              <w:autoSpaceDN/>
              <w:bidi w:val="0"/>
              <w:adjustRightIn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投标文件第一个信封（商务及技术文件）开标时间：同投标截止时间</w:t>
            </w:r>
          </w:p>
          <w:p w14:paraId="6A8743C2">
            <w:pPr>
              <w:keepNext w:val="0"/>
              <w:keepLines w:val="0"/>
              <w:pageBreakBefore w:val="0"/>
              <w:shd w:val="clear"/>
              <w:kinsoku/>
              <w:overflowPunct/>
              <w:autoSpaceDE/>
              <w:autoSpaceDN/>
              <w:bidi w:val="0"/>
              <w:adjustRightInd/>
              <w:spacing w:line="3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投标文件第二个信封（报价文件）开标时间：另行通知</w:t>
            </w:r>
          </w:p>
          <w:p w14:paraId="369B1831">
            <w:pPr>
              <w:keepNext w:val="0"/>
              <w:keepLines w:val="0"/>
              <w:pageBreakBefore w:val="0"/>
              <w:widowControl w:val="0"/>
              <w:shd w:val="clear"/>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地点：辽宁省公共资源不见面交易大厅https:/www.lnsggzy.com/BidOpeningHall/bidhall/dqliaoning/login </w:t>
            </w:r>
          </w:p>
        </w:tc>
      </w:tr>
      <w:tr w14:paraId="6E1041DA">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68D59FA">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709235E">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第一个信封（商务及技术文件）开标程序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276AD5A6">
            <w:pPr>
              <w:keepNext w:val="0"/>
              <w:keepLines w:val="0"/>
              <w:pageBreakBefore w:val="0"/>
              <w:numPr>
                <w:ilvl w:val="0"/>
                <w:numId w:val="0"/>
              </w:numPr>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（商务及技术文件）</w:t>
            </w:r>
            <w:r>
              <w:rPr>
                <w:rFonts w:hint="eastAsia" w:ascii="宋体" w:hAnsi="宋体" w:eastAsia="宋体" w:cs="宋体"/>
                <w:color w:val="auto"/>
                <w:sz w:val="24"/>
                <w:szCs w:val="24"/>
                <w:highlight w:val="none"/>
                <w:lang w:eastAsia="zh-CN"/>
              </w:rPr>
              <w:t>解密</w:t>
            </w:r>
            <w:r>
              <w:rPr>
                <w:rFonts w:hint="eastAsia" w:ascii="宋体" w:hAnsi="宋体" w:eastAsia="宋体" w:cs="宋体"/>
                <w:color w:val="auto"/>
                <w:sz w:val="24"/>
                <w:szCs w:val="24"/>
                <w:highlight w:val="none"/>
                <w:lang w:val="en-US" w:eastAsia="zh-CN"/>
              </w:rPr>
              <w:t>时长：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u w:val="none"/>
                <w:lang w:val="en-US" w:eastAsia="zh-CN"/>
              </w:rPr>
              <w:t>分钟，当所有上传的电子投标文件均完成解密时，时长相应缩短。</w:t>
            </w:r>
          </w:p>
          <w:p w14:paraId="25E9C04D">
            <w:pPr>
              <w:keepNext w:val="0"/>
              <w:keepLines w:val="0"/>
              <w:pageBreakBefore w:val="0"/>
              <w:numPr>
                <w:ilvl w:val="0"/>
                <w:numId w:val="0"/>
              </w:numPr>
              <w:kinsoku/>
              <w:wordWrap w:val="0"/>
              <w:overflowPunct/>
              <w:autoSpaceDE/>
              <w:autoSpaceDN/>
              <w:bidi w:val="0"/>
              <w:adjustRightInd/>
              <w:spacing w:line="3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投标人必须在</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完成投标文件的远程解密。</w:t>
            </w:r>
            <w:r>
              <w:rPr>
                <w:rFonts w:hint="eastAsia" w:ascii="宋体" w:hAnsi="宋体" w:eastAsia="宋体" w:cs="宋体"/>
                <w:color w:val="auto"/>
                <w:sz w:val="24"/>
                <w:szCs w:val="24"/>
                <w:highlight w:val="none"/>
                <w:lang w:val="en-US" w:eastAsia="zh-CN"/>
              </w:rPr>
              <w:t>除特殊说明情况外，若出现在规定时间未成功解密的情况，视为撤销投标文件</w:t>
            </w:r>
            <w:r>
              <w:rPr>
                <w:rFonts w:hint="eastAsia" w:ascii="宋体" w:hAnsi="宋体" w:eastAsia="宋体" w:cs="宋体"/>
                <w:color w:val="auto"/>
                <w:sz w:val="24"/>
                <w:szCs w:val="24"/>
                <w:highlight w:val="none"/>
                <w:lang w:eastAsia="zh-CN"/>
              </w:rPr>
              <w:t>。</w:t>
            </w:r>
          </w:p>
        </w:tc>
      </w:tr>
      <w:tr w14:paraId="22581E9F">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0C4C7C4">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74FA9CFC">
            <w:pPr>
              <w:keepNext w:val="0"/>
              <w:keepLines w:val="0"/>
              <w:pageBreakBefore w:val="0"/>
              <w:kinsoku/>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第二个信封（报价文件）开标程序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D107468">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lang w:eastAsia="zh"/>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第二个信封（报价文件）</w:t>
            </w:r>
            <w:r>
              <w:rPr>
                <w:rFonts w:hint="eastAsia" w:ascii="宋体" w:hAnsi="宋体" w:eastAsia="宋体" w:cs="宋体"/>
                <w:color w:val="auto"/>
                <w:sz w:val="24"/>
                <w:szCs w:val="24"/>
                <w:highlight w:val="none"/>
                <w:lang w:eastAsia="zh-CN"/>
              </w:rPr>
              <w:t>解密</w:t>
            </w:r>
            <w:r>
              <w:rPr>
                <w:rFonts w:hint="eastAsia" w:ascii="宋体" w:hAnsi="宋体" w:eastAsia="宋体" w:cs="宋体"/>
                <w:color w:val="auto"/>
                <w:sz w:val="24"/>
                <w:szCs w:val="24"/>
                <w:highlight w:val="none"/>
                <w:lang w:val="en-US" w:eastAsia="zh-CN"/>
              </w:rPr>
              <w:t>时长：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u w:val="none"/>
                <w:lang w:eastAsia="zh"/>
              </w:rPr>
              <w:t>分钟，当所有参与第二个信封评审的电子投标文件均完成解密时，时长相应缩短。</w:t>
            </w:r>
          </w:p>
          <w:p w14:paraId="0A1EEA09">
            <w:pPr>
              <w:keepNext w:val="0"/>
              <w:keepLines w:val="0"/>
              <w:pageBreakBefore w:val="0"/>
              <w:kinsoku/>
              <w:wordWrap w:val="0"/>
              <w:overflowPunct/>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投标人必须在</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完成投标文件的远程解密。除特殊说明情况外，若出现在规定时间未成功解密的情况，视为撤销投标文件。投标人应确保“不见面开标大厅”所留项目联系方式正确且开评标期间全程畅通。如若投标人未解密文件或投标人电话未接通或投标人所留联系方式不正确，均视为自动放弃，按未递交处理。</w:t>
            </w:r>
          </w:p>
          <w:p w14:paraId="3A316014">
            <w:pPr>
              <w:keepNext w:val="0"/>
              <w:keepLines w:val="0"/>
              <w:pageBreakBefore w:val="0"/>
              <w:kinsoku/>
              <w:wordWrap w:val="0"/>
              <w:overflowPunct/>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当本招标文件中关于评标基准价计算方法、评标基准价系数的抽取顺序与电子交易平台中的“开标系统”设定规则(如有)不一致时，以电子交易平台中的“开标系统”设定的规则为准。</w:t>
            </w:r>
          </w:p>
        </w:tc>
      </w:tr>
      <w:tr w14:paraId="5CFB9462">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6A73E62">
            <w:pPr>
              <w:keepNext w:val="0"/>
              <w:keepLines w:val="0"/>
              <w:pageBreakBefore w:val="0"/>
              <w:kinsoku/>
              <w:wordWrap w:val="0"/>
              <w:overflowPunct/>
              <w:autoSpaceDE/>
              <w:autoSpaceDN/>
              <w:bidi w:val="0"/>
              <w:adjustRightInd/>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5.2.4</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00C5DAB">
            <w:pPr>
              <w:keepNext w:val="0"/>
              <w:keepLines w:val="0"/>
              <w:pageBreakBefore w:val="0"/>
              <w:kinsoku/>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7430CE3F">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详见第三章“评标办法”</w:t>
            </w:r>
          </w:p>
        </w:tc>
      </w:tr>
      <w:tr w14:paraId="04E44553">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4DBED52E">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5.3.1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6FF317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开标补救措施</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5A5DC25B">
            <w:pPr>
              <w:keepNext w:val="0"/>
              <w:keepLines w:val="0"/>
              <w:pageBreakBefore w:val="0"/>
              <w:kinsoku/>
              <w:wordWrap w:val="0"/>
              <w:overflowPunct/>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因平台发生突发情况造成解密延误的，招标人将延长相应的解密时长，其他原因不予延长解密时间。</w:t>
            </w:r>
          </w:p>
          <w:p w14:paraId="0EAF1D75">
            <w:pPr>
              <w:keepNext w:val="0"/>
              <w:keepLines w:val="0"/>
              <w:pageBreakBefore w:val="0"/>
              <w:kinsoku/>
              <w:wordWrap w:val="0"/>
              <w:overflowPunct/>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因平台发生突发情况无法进行电子开标的，由招标人申请经上级监督部门同意后延期开标。</w:t>
            </w:r>
          </w:p>
        </w:tc>
      </w:tr>
      <w:tr w14:paraId="55CF6867">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F285845">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4DE4E7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r>
              <w:rPr>
                <w:rStyle w:val="13"/>
                <w:rFonts w:hint="eastAsia" w:ascii="宋体" w:hAnsi="宋体" w:eastAsia="宋体" w:cs="宋体"/>
                <w:color w:val="auto"/>
                <w:sz w:val="24"/>
                <w:szCs w:val="24"/>
                <w:highlight w:val="none"/>
              </w:rPr>
              <w:footnoteReference w:id="2"/>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B066B37">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人，其中招标人代表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人；</w:t>
            </w:r>
          </w:p>
          <w:p w14:paraId="3FE0A91B">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w:t>
            </w:r>
            <w:r>
              <w:rPr>
                <w:rFonts w:hint="eastAsia" w:ascii="宋体" w:hAnsi="宋体" w:eastAsia="宋体" w:cs="宋体"/>
                <w:color w:val="auto"/>
                <w:sz w:val="24"/>
                <w:szCs w:val="24"/>
                <w:u w:val="single"/>
              </w:rPr>
              <w:t>依法从</w:t>
            </w:r>
            <w:r>
              <w:rPr>
                <w:rFonts w:hint="eastAsia" w:ascii="宋体" w:hAnsi="宋体" w:eastAsia="宋体" w:cs="宋体"/>
                <w:color w:val="auto"/>
                <w:sz w:val="24"/>
                <w:szCs w:val="24"/>
                <w:u w:val="single"/>
                <w:lang w:val="en-US"/>
              </w:rPr>
              <w:t>辽宁省综合评标</w:t>
            </w:r>
            <w:r>
              <w:rPr>
                <w:rFonts w:hint="eastAsia" w:ascii="宋体" w:hAnsi="宋体" w:eastAsia="宋体" w:cs="宋体"/>
                <w:color w:val="auto"/>
                <w:sz w:val="24"/>
                <w:szCs w:val="24"/>
                <w:u w:val="single"/>
              </w:rPr>
              <w:t>专家库中随机抽取</w:t>
            </w:r>
          </w:p>
        </w:tc>
      </w:tr>
      <w:tr w14:paraId="739F84BD">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CBB4F1C">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73932FEF">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E174E14">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pacing w:val="10"/>
                <w:sz w:val="24"/>
                <w:szCs w:val="24"/>
                <w:highlight w:val="none"/>
                <w:bdr w:val="single" w:color="auto" w:sz="4" w:space="0"/>
                <w:lang w:val="en-US" w:eastAsia="zh-CN"/>
              </w:rPr>
            </w:pPr>
            <w:r>
              <w:rPr>
                <w:rFonts w:hint="eastAsia" w:ascii="宋体" w:hAnsi="宋体" w:eastAsia="宋体" w:cs="宋体"/>
                <w:color w:val="auto"/>
                <w:sz w:val="24"/>
                <w:szCs w:val="24"/>
                <w:u w:val="none"/>
              </w:rPr>
              <w:t>推荐的中标候选人为 1</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rPr>
              <w:t>3</w:t>
            </w:r>
            <w:r>
              <w:rPr>
                <w:rFonts w:hint="eastAsia" w:ascii="宋体" w:hAnsi="宋体" w:cs="宋体"/>
                <w:color w:val="auto"/>
                <w:sz w:val="24"/>
                <w:szCs w:val="24"/>
                <w:u w:val="none"/>
                <w:lang w:val="en-US" w:eastAsia="zh-CN"/>
              </w:rPr>
              <w:t>名</w:t>
            </w:r>
          </w:p>
        </w:tc>
      </w:tr>
      <w:tr w14:paraId="1D5F0A5C">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2E622134">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E972D39">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中标候选人公示媒介及期限</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34BA0614">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公示媒介：</w:t>
            </w:r>
            <w:r>
              <w:rPr>
                <w:rFonts w:hint="eastAsia" w:ascii="宋体" w:hAnsi="宋体" w:eastAsia="宋体" w:cs="宋体"/>
                <w:color w:val="auto"/>
                <w:sz w:val="24"/>
                <w:szCs w:val="24"/>
              </w:rPr>
              <w:t>同发布招标公告媒介</w:t>
            </w:r>
          </w:p>
          <w:p w14:paraId="1C0A9D15">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lang w:val="en-US" w:eastAsia="zh-CN"/>
              </w:rPr>
              <w:t>不少于3</w:t>
            </w:r>
            <w:r>
              <w:rPr>
                <w:rFonts w:hint="eastAsia" w:ascii="宋体" w:hAnsi="宋体" w:eastAsia="宋体" w:cs="宋体"/>
                <w:color w:val="auto"/>
                <w:sz w:val="24"/>
                <w:szCs w:val="24"/>
                <w:u w:val="single"/>
              </w:rPr>
              <w:t xml:space="preserve"> 日</w:t>
            </w:r>
          </w:p>
          <w:p w14:paraId="31839867">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公示的其他内容：</w:t>
            </w:r>
          </w:p>
          <w:p w14:paraId="0D5A99BD">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详细评审的评标委员会成员打分</w:t>
            </w:r>
          </w:p>
          <w:p w14:paraId="4BEC5412">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受理异议和投诉的联系方式</w:t>
            </w:r>
          </w:p>
          <w:p w14:paraId="509119BA">
            <w:pPr>
              <w:pStyle w:val="5"/>
              <w:keepNext w:val="0"/>
              <w:keepLines w:val="0"/>
              <w:pageBreakBefore w:val="0"/>
              <w:widowControl w:val="0"/>
              <w:kinsoku/>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13216E6">
            <w:pPr>
              <w:keepNext w:val="0"/>
              <w:keepLines w:val="0"/>
              <w:pageBreakBefore w:val="0"/>
              <w:widowControl w:val="0"/>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default" w:ascii="Times New Roman" w:hAnsi="Times New Roman" w:cs="Times New Roman"/>
                <w:color w:val="auto"/>
                <w:sz w:val="24"/>
                <w:szCs w:val="24"/>
                <w:highlight w:val="none"/>
                <w:u w:val="none"/>
              </w:rPr>
              <w:t>如发现投标人存在弄虚作假行为，招标人将取消其中标候选人资格，并上报省级交通主管部门，作为不良记录纳入</w:t>
            </w:r>
            <w:r>
              <w:rPr>
                <w:rFonts w:hint="eastAsia" w:cs="Times New Roman"/>
                <w:color w:val="auto"/>
                <w:sz w:val="24"/>
                <w:szCs w:val="24"/>
                <w:highlight w:val="none"/>
                <w:u w:val="none"/>
                <w:lang w:eastAsia="zh-CN"/>
              </w:rPr>
              <w:t>全国公路建设市场监督管理系统，情节严重的取消其在辽宁省公路建设市场1~3年的投标资格。</w:t>
            </w:r>
          </w:p>
        </w:tc>
      </w:tr>
      <w:tr w14:paraId="6FC37BA5">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048F5133">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6F52AFD">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7856491">
            <w:pPr>
              <w:keepNext w:val="0"/>
              <w:keepLines w:val="0"/>
              <w:pageBreakBefore w:val="0"/>
              <w:kinsoku/>
              <w:wordWrap w:val="0"/>
              <w:overflowPunct/>
              <w:autoSpaceDE/>
              <w:autoSpaceDN/>
              <w:bidi w:val="0"/>
              <w:adjustRightIn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w:t>
            </w:r>
          </w:p>
          <w:p w14:paraId="15B24B05">
            <w:pPr>
              <w:keepNext w:val="0"/>
              <w:keepLines w:val="0"/>
              <w:pageBreakBefore w:val="0"/>
              <w:kinsoku/>
              <w:wordWrap w:val="0"/>
              <w:overflowPunct/>
              <w:autoSpaceDE/>
              <w:autoSpaceDN/>
              <w:bidi w:val="0"/>
              <w:adjustRightInd/>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w:t>
            </w:r>
          </w:p>
        </w:tc>
      </w:tr>
      <w:tr w14:paraId="0793DDD5">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1AFE4AB9">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7.4.2</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EFE4305">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定标规则</w:t>
            </w:r>
            <w:r>
              <w:rPr>
                <w:rStyle w:val="13"/>
                <w:rFonts w:hint="eastAsia" w:ascii="宋体" w:hAnsi="宋体" w:eastAsia="宋体" w:cs="宋体"/>
                <w:color w:val="auto"/>
                <w:sz w:val="24"/>
                <w:szCs w:val="24"/>
                <w:highlight w:val="none"/>
                <w:lang w:val="en-US" w:eastAsia="zh-CN"/>
              </w:rPr>
              <w:footnoteReference w:id="3"/>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418DFB0D">
            <w:pPr>
              <w:keepNext w:val="0"/>
              <w:keepLines w:val="0"/>
              <w:pageBreakBefore w:val="0"/>
              <w:kinsoku/>
              <w:wordWrap w:val="0"/>
              <w:overflowPunct/>
              <w:autoSpaceDE/>
              <w:autoSpaceDN/>
              <w:bidi w:val="0"/>
              <w:adjustRightInd/>
              <w:snapToGrid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59AF2969">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3312E906">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7EA7E49E">
            <w:pPr>
              <w:pStyle w:val="15"/>
              <w:keepNext w:val="0"/>
              <w:keepLines w:val="0"/>
              <w:pageBreakBefore w:val="0"/>
              <w:kinsoku/>
              <w:overflowPunct/>
              <w:autoSpaceDE/>
              <w:autoSpaceDN/>
              <w:bidi w:val="0"/>
              <w:adjustRightInd/>
              <w:spacing w:before="136"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
                <w:sz w:val="24"/>
                <w:szCs w:val="24"/>
              </w:rPr>
              <w:t>中标通知书和中标结果通知发出的形</w:t>
            </w:r>
            <w:r>
              <w:rPr>
                <w:rFonts w:hint="eastAsia" w:ascii="宋体" w:hAnsi="宋体" w:eastAsia="宋体" w:cs="宋体"/>
                <w:color w:val="auto"/>
                <w:sz w:val="24"/>
                <w:szCs w:val="24"/>
              </w:rPr>
              <w:t>式</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13CFEDEA">
            <w:pPr>
              <w:pStyle w:val="15"/>
              <w:keepNext w:val="0"/>
              <w:keepLines w:val="0"/>
              <w:pageBreakBefore w:val="0"/>
              <w:kinsoku/>
              <w:wordWrap/>
              <w:overflowPunct/>
              <w:topLinePunct w:val="0"/>
              <w:autoSpaceDE/>
              <w:autoSpaceDN/>
              <w:bidi w:val="0"/>
              <w:adjustRightInd/>
              <w:snapToGrid/>
              <w:spacing w:before="71"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中标通知书发出的形式：书面形式。</w:t>
            </w:r>
          </w:p>
          <w:p w14:paraId="723E031F">
            <w:pPr>
              <w:pStyle w:val="15"/>
              <w:keepNext w:val="0"/>
              <w:keepLines w:val="0"/>
              <w:pageBreakBefore w:val="0"/>
              <w:kinsoku/>
              <w:wordWrap/>
              <w:overflowPunct/>
              <w:topLinePunct w:val="0"/>
              <w:autoSpaceDE/>
              <w:autoSpaceDN/>
              <w:bidi w:val="0"/>
              <w:adjustRightInd/>
              <w:snapToGrid/>
              <w:spacing w:before="138"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中标结果通知发出的形式：中标结果公告形式。</w:t>
            </w:r>
          </w:p>
        </w:tc>
      </w:tr>
      <w:tr w14:paraId="4791BCC8">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F0E6F0F">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22A13E4D">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中标结果公告媒介及期限</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65CF9D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公告媒介：</w:t>
            </w:r>
            <w:r>
              <w:rPr>
                <w:rFonts w:hint="eastAsia" w:ascii="宋体" w:hAnsi="宋体" w:eastAsia="宋体" w:cs="宋体"/>
                <w:color w:val="auto"/>
                <w:kern w:val="0"/>
                <w:sz w:val="24"/>
                <w:szCs w:val="24"/>
                <w:lang w:val="en-US" w:eastAsia="zh-CN" w:bidi="ar"/>
              </w:rPr>
              <w:t>同发布招标公告媒介</w:t>
            </w:r>
          </w:p>
          <w:p w14:paraId="6BB50E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u w:val="single"/>
                <w:lang w:val="en-US" w:eastAsia="zh-CN"/>
              </w:rPr>
              <w:t>不少于</w:t>
            </w:r>
            <w:r>
              <w:rPr>
                <w:rFonts w:hint="eastAsia" w:ascii="宋体" w:hAnsi="宋体" w:eastAsia="宋体" w:cs="宋体"/>
                <w:color w:val="auto"/>
                <w:kern w:val="0"/>
                <w:sz w:val="24"/>
                <w:szCs w:val="24"/>
                <w:u w:val="single"/>
                <w:lang w:val="en-US" w:eastAsia="zh-CN" w:bidi="ar"/>
              </w:rPr>
              <w:t xml:space="preserve">3 </w:t>
            </w:r>
            <w:r>
              <w:rPr>
                <w:rFonts w:hint="eastAsia" w:ascii="宋体" w:hAnsi="宋体" w:eastAsia="宋体" w:cs="宋体"/>
                <w:color w:val="auto"/>
                <w:sz w:val="24"/>
                <w:szCs w:val="24"/>
                <w:highlight w:val="none"/>
              </w:rPr>
              <w:t>日</w:t>
            </w:r>
          </w:p>
        </w:tc>
      </w:tr>
      <w:tr w14:paraId="5CCB9C4F">
        <w:tblPrEx>
          <w:tblCellMar>
            <w:top w:w="0" w:type="dxa"/>
            <w:left w:w="108" w:type="dxa"/>
            <w:bottom w:w="0" w:type="dxa"/>
            <w:right w:w="108" w:type="dxa"/>
          </w:tblCellMar>
        </w:tblPrEx>
        <w:trPr>
          <w:trHeight w:val="340"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62FBEE98">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A3DD62F">
            <w:pPr>
              <w:keepNext w:val="0"/>
              <w:keepLines w:val="0"/>
              <w:pageBreakBefore w:val="0"/>
              <w:kinsoku/>
              <w:overflowPunct/>
              <w:autoSpaceDE/>
              <w:autoSpaceDN/>
              <w:bidi w:val="0"/>
              <w:adjustRightInd/>
              <w:spacing w:line="38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224251FF">
            <w:pPr>
              <w:pStyle w:val="15"/>
              <w:keepNext w:val="0"/>
              <w:keepLines w:val="0"/>
              <w:pageBreakBefore w:val="0"/>
              <w:kinsoku/>
              <w:wordWrap/>
              <w:overflowPunct/>
              <w:topLinePunct w:val="0"/>
              <w:autoSpaceDE/>
              <w:autoSpaceDN/>
              <w:bidi w:val="0"/>
              <w:adjustRightInd/>
              <w:snapToGrid/>
              <w:spacing w:before="14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是否要求中标人提交履约保证金：</w:t>
            </w:r>
          </w:p>
          <w:p w14:paraId="433C8831">
            <w:pPr>
              <w:pStyle w:val="15"/>
              <w:keepNext w:val="0"/>
              <w:keepLines w:val="0"/>
              <w:pageBreakBefore w:val="0"/>
              <w:kinsoku/>
              <w:wordWrap/>
              <w:overflowPunct/>
              <w:topLinePunct w:val="0"/>
              <w:autoSpaceDE/>
              <w:autoSpaceDN/>
              <w:bidi w:val="0"/>
              <w:adjustRightInd/>
              <w:snapToGrid/>
              <w:spacing w:before="138" w:line="400" w:lineRule="exact"/>
              <w:ind w:left="84"/>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☑要求</w:t>
            </w:r>
          </w:p>
          <w:p w14:paraId="2EA4A3B7">
            <w:pPr>
              <w:pStyle w:val="15"/>
              <w:keepNext w:val="0"/>
              <w:keepLines w:val="0"/>
              <w:pageBreakBefore w:val="0"/>
              <w:kinsoku/>
              <w:wordWrap/>
              <w:overflowPunct/>
              <w:topLinePunct w:val="0"/>
              <w:autoSpaceDE/>
              <w:autoSpaceDN/>
              <w:bidi w:val="0"/>
              <w:adjustRightInd/>
              <w:snapToGrid/>
              <w:spacing w:before="143" w:line="400" w:lineRule="exact"/>
              <w:ind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履约保证金金额：</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color="auto"/>
              </w:rPr>
              <w:t>2</w:t>
            </w:r>
            <w:r>
              <w:rPr>
                <w:rFonts w:hint="eastAsia" w:ascii="宋体" w:hAnsi="宋体" w:eastAsia="宋体" w:cs="宋体"/>
                <w:color w:val="auto"/>
                <w:spacing w:val="-1"/>
                <w:sz w:val="24"/>
                <w:szCs w:val="24"/>
                <w:u w:val="single" w:color="auto"/>
                <w:lang w:val="en-US" w:eastAsia="zh-CN"/>
              </w:rPr>
              <w:t xml:space="preserve"> </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u w:val="single" w:color="auto"/>
                <w:lang w:val="en-US" w:eastAsia="zh-CN"/>
              </w:rPr>
              <w:t xml:space="preserve"> </w:t>
            </w:r>
            <w:r>
              <w:rPr>
                <w:rFonts w:hint="eastAsia" w:ascii="宋体" w:hAnsi="宋体" w:eastAsia="宋体" w:cs="宋体"/>
                <w:color w:val="auto"/>
                <w:spacing w:val="-1"/>
                <w:sz w:val="24"/>
                <w:szCs w:val="24"/>
              </w:rPr>
              <w:t>签约合同价。</w:t>
            </w:r>
          </w:p>
          <w:p w14:paraId="47B3D0F1">
            <w:pPr>
              <w:pStyle w:val="15"/>
              <w:keepNext w:val="0"/>
              <w:keepLines w:val="0"/>
              <w:pageBreakBefore w:val="0"/>
              <w:kinsoku/>
              <w:wordWrap/>
              <w:overflowPunct/>
              <w:topLinePunct w:val="0"/>
              <w:autoSpaceDE/>
              <w:autoSpaceDN/>
              <w:bidi w:val="0"/>
              <w:adjustRightInd/>
              <w:snapToGrid/>
              <w:spacing w:before="141" w:line="400" w:lineRule="exact"/>
              <w:ind w:firstLine="45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履约担保形式：由中标人自主选择银行保函或者现金、支票等招</w:t>
            </w:r>
            <w:r>
              <w:rPr>
                <w:rFonts w:hint="eastAsia" w:ascii="宋体" w:hAnsi="宋体" w:eastAsia="宋体" w:cs="宋体"/>
                <w:color w:val="auto"/>
                <w:spacing w:val="-1"/>
                <w:sz w:val="24"/>
                <w:szCs w:val="24"/>
              </w:rPr>
              <w:t>标人可接受的支付形式。</w:t>
            </w:r>
          </w:p>
          <w:p w14:paraId="1220895A">
            <w:pPr>
              <w:pStyle w:val="15"/>
              <w:keepNext w:val="0"/>
              <w:keepLines w:val="0"/>
              <w:pageBreakBefore w:val="0"/>
              <w:kinsoku/>
              <w:wordWrap/>
              <w:overflowPunct/>
              <w:topLinePunct w:val="0"/>
              <w:autoSpaceDE/>
              <w:autoSpaceDN/>
              <w:bidi w:val="0"/>
              <w:adjustRightInd/>
              <w:snapToGrid/>
              <w:spacing w:before="2" w:line="400" w:lineRule="exact"/>
              <w:ind w:right="1" w:firstLine="45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采用银行保函时，出具履约担保的银行级别：国有商业银行</w:t>
            </w:r>
            <w:r>
              <w:rPr>
                <w:rFonts w:hint="eastAsia" w:ascii="宋体" w:hAnsi="宋体" w:eastAsia="宋体" w:cs="宋体"/>
                <w:color w:val="auto"/>
                <w:spacing w:val="-7"/>
                <w:sz w:val="24"/>
                <w:szCs w:val="24"/>
              </w:rPr>
              <w:t>或股</w:t>
            </w:r>
            <w:r>
              <w:rPr>
                <w:rFonts w:hint="eastAsia" w:ascii="宋体" w:hAnsi="宋体" w:eastAsia="宋体" w:cs="宋体"/>
                <w:color w:val="auto"/>
                <w:sz w:val="24"/>
                <w:szCs w:val="24"/>
              </w:rPr>
              <w:t>份制商业银行的支行及其以上银行。</w:t>
            </w:r>
          </w:p>
          <w:p w14:paraId="4A0A7E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rPr>
              <w:t>□不要求</w:t>
            </w:r>
          </w:p>
        </w:tc>
      </w:tr>
      <w:tr w14:paraId="6BB2D853">
        <w:tblPrEx>
          <w:tblCellMar>
            <w:top w:w="0" w:type="dxa"/>
            <w:left w:w="108" w:type="dxa"/>
            <w:bottom w:w="0" w:type="dxa"/>
            <w:right w:w="108" w:type="dxa"/>
          </w:tblCellMar>
        </w:tblPrEx>
        <w:trPr>
          <w:trHeight w:val="345" w:hRule="atLeast"/>
        </w:trPr>
        <w:tc>
          <w:tcPr>
            <w:tcW w:w="839" w:type="dxa"/>
            <w:tcBorders>
              <w:top w:val="single" w:color="auto" w:sz="4" w:space="0"/>
              <w:left w:val="single" w:color="auto" w:sz="4" w:space="0"/>
              <w:bottom w:val="single" w:color="auto" w:sz="4" w:space="0"/>
              <w:right w:val="single" w:color="auto" w:sz="4" w:space="0"/>
            </w:tcBorders>
            <w:noWrap w:val="0"/>
            <w:vAlign w:val="center"/>
          </w:tcPr>
          <w:p w14:paraId="7EA512DA">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68BB2E6">
            <w:pPr>
              <w:keepNext w:val="0"/>
              <w:keepLines w:val="0"/>
              <w:pageBreakBefore w:val="0"/>
              <w:kinsoku/>
              <w:wordWrap w:val="0"/>
              <w:overflowPunct/>
              <w:autoSpaceDE/>
              <w:autoSpaceDN/>
              <w:bidi w:val="0"/>
              <w:adjustRightIn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监督部门</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7AD437F4">
            <w:pPr>
              <w:pStyle w:val="15"/>
              <w:keepNext w:val="0"/>
              <w:keepLines w:val="0"/>
              <w:pageBreakBefore w:val="0"/>
              <w:kinsoku/>
              <w:wordWrap/>
              <w:overflowPunct/>
              <w:topLinePunct w:val="0"/>
              <w:autoSpaceDE/>
              <w:autoSpaceDN/>
              <w:bidi w:val="0"/>
              <w:adjustRightInd/>
              <w:snapToGrid/>
              <w:spacing w:before="143" w:line="400" w:lineRule="exac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监督部门：</w:t>
            </w:r>
            <w:r>
              <w:rPr>
                <w:rFonts w:hint="eastAsia" w:ascii="宋体" w:hAnsi="宋体" w:eastAsia="宋体" w:cs="宋体"/>
                <w:color w:val="auto"/>
                <w:spacing w:val="-1"/>
                <w:sz w:val="24"/>
                <w:szCs w:val="24"/>
                <w:u w:val="single"/>
              </w:rPr>
              <w:t>抚顺市交通运输局招标投标协调管理办公室</w:t>
            </w:r>
          </w:p>
          <w:p w14:paraId="0520A237">
            <w:pPr>
              <w:pStyle w:val="15"/>
              <w:keepNext w:val="0"/>
              <w:keepLines w:val="0"/>
              <w:pageBreakBefore w:val="0"/>
              <w:kinsoku/>
              <w:wordWrap/>
              <w:overflowPunct/>
              <w:topLinePunct w:val="0"/>
              <w:autoSpaceDE/>
              <w:autoSpaceDN/>
              <w:bidi w:val="0"/>
              <w:adjustRightInd/>
              <w:snapToGrid/>
              <w:spacing w:before="138" w:line="40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抚顺市顺城区临江路东一号</w:t>
            </w:r>
          </w:p>
          <w:p w14:paraId="234B7535">
            <w:pPr>
              <w:pStyle w:val="15"/>
              <w:keepNext w:val="0"/>
              <w:keepLines w:val="0"/>
              <w:pageBreakBefore w:val="0"/>
              <w:kinsoku/>
              <w:wordWrap/>
              <w:overflowPunct/>
              <w:topLinePunct w:val="0"/>
              <w:autoSpaceDE/>
              <w:autoSpaceDN/>
              <w:bidi w:val="0"/>
              <w:adjustRightInd/>
              <w:snapToGrid/>
              <w:spacing w:before="141"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024-57505158</w:t>
            </w:r>
          </w:p>
          <w:p w14:paraId="27A7A29C">
            <w:pPr>
              <w:pStyle w:val="15"/>
              <w:keepNext w:val="0"/>
              <w:keepLines w:val="0"/>
              <w:pageBreakBefore w:val="0"/>
              <w:kinsoku/>
              <w:wordWrap/>
              <w:overflowPunct/>
              <w:topLinePunct w:val="0"/>
              <w:autoSpaceDE/>
              <w:autoSpaceDN/>
              <w:bidi w:val="0"/>
              <w:adjustRightInd/>
              <w:snapToGrid/>
              <w:spacing w:before="134"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补充：</w:t>
            </w:r>
          </w:p>
          <w:p w14:paraId="195BD56A">
            <w:pPr>
              <w:pStyle w:val="15"/>
              <w:keepNext w:val="0"/>
              <w:keepLines w:val="0"/>
              <w:pageBreakBefore w:val="0"/>
              <w:kinsoku/>
              <w:wordWrap/>
              <w:overflowPunct/>
              <w:topLinePunct w:val="0"/>
              <w:autoSpaceDE/>
              <w:autoSpaceDN/>
              <w:bidi w:val="0"/>
              <w:adjustRightInd/>
              <w:snapToGrid/>
              <w:spacing w:before="138" w:line="400" w:lineRule="exact"/>
              <w:ind w:right="3" w:firstLine="39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行政监督部门按照《招标投标法实施条例》《工</w:t>
            </w:r>
            <w:r>
              <w:rPr>
                <w:rFonts w:hint="eastAsia" w:ascii="宋体" w:hAnsi="宋体" w:eastAsia="宋体" w:cs="宋体"/>
                <w:color w:val="auto"/>
                <w:spacing w:val="-7"/>
                <w:sz w:val="21"/>
                <w:szCs w:val="21"/>
              </w:rPr>
              <w:t>程建设项目招标投</w:t>
            </w:r>
            <w:r>
              <w:rPr>
                <w:rFonts w:hint="eastAsia" w:ascii="宋体" w:hAnsi="宋体" w:eastAsia="宋体" w:cs="宋体"/>
                <w:color w:val="auto"/>
                <w:sz w:val="21"/>
                <w:szCs w:val="21"/>
              </w:rPr>
              <w:t>标活动投诉处理办法》(2013年3月国家</w:t>
            </w:r>
            <w:r>
              <w:rPr>
                <w:rFonts w:hint="eastAsia" w:ascii="宋体" w:hAnsi="宋体" w:eastAsia="宋体" w:cs="宋体"/>
                <w:color w:val="auto"/>
                <w:spacing w:val="-1"/>
                <w:sz w:val="21"/>
                <w:szCs w:val="21"/>
              </w:rPr>
              <w:t>发展改革委第23号令修</w:t>
            </w:r>
            <w:r>
              <w:rPr>
                <w:rFonts w:hint="eastAsia" w:ascii="宋体" w:hAnsi="宋体" w:eastAsia="宋体" w:cs="宋体"/>
                <w:color w:val="auto"/>
                <w:spacing w:val="-10"/>
                <w:sz w:val="21"/>
                <w:szCs w:val="21"/>
              </w:rPr>
              <w:t>改)、《关于建立健全招标投标领域优化营商环境长效机制的通知》</w:t>
            </w:r>
            <w:r>
              <w:rPr>
                <w:rFonts w:hint="eastAsia" w:ascii="宋体" w:hAnsi="宋体" w:eastAsia="宋体" w:cs="宋体"/>
                <w:color w:val="auto"/>
                <w:spacing w:val="-4"/>
                <w:sz w:val="21"/>
                <w:szCs w:val="21"/>
              </w:rPr>
              <w:t>(发改法规〔2021〕240号)、交通运输</w:t>
            </w:r>
            <w:r>
              <w:rPr>
                <w:rFonts w:hint="eastAsia" w:ascii="宋体" w:hAnsi="宋体" w:eastAsia="宋体" w:cs="宋体"/>
                <w:color w:val="auto"/>
                <w:spacing w:val="-5"/>
                <w:sz w:val="21"/>
                <w:szCs w:val="21"/>
              </w:rPr>
              <w:t>部《公路工程建设项目招标</w:t>
            </w:r>
            <w:r>
              <w:rPr>
                <w:rFonts w:hint="eastAsia" w:ascii="宋体" w:hAnsi="宋体" w:eastAsia="宋体" w:cs="宋体"/>
                <w:color w:val="auto"/>
                <w:spacing w:val="-9"/>
                <w:sz w:val="21"/>
                <w:szCs w:val="21"/>
              </w:rPr>
              <w:t>投标管理办法》等相关规定，接受针对公示内容的投诉。投诉材料</w:t>
            </w:r>
            <w:r>
              <w:rPr>
                <w:rFonts w:hint="eastAsia" w:ascii="宋体" w:hAnsi="宋体" w:eastAsia="宋体" w:cs="宋体"/>
                <w:color w:val="auto"/>
                <w:spacing w:val="-2"/>
                <w:sz w:val="21"/>
                <w:szCs w:val="21"/>
              </w:rPr>
              <w:t>要求、投诉受理条件及查处按照上述规定执行。</w:t>
            </w:r>
          </w:p>
          <w:p w14:paraId="5E8EED53">
            <w:pPr>
              <w:pStyle w:val="15"/>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(1)如果投标人或其他利害关系人就招标文件、开标及评标结果等</w:t>
            </w:r>
            <w:r>
              <w:rPr>
                <w:rFonts w:hint="eastAsia" w:ascii="宋体" w:hAnsi="宋体" w:eastAsia="宋体" w:cs="宋体"/>
                <w:color w:val="auto"/>
                <w:spacing w:val="-6"/>
                <w:sz w:val="21"/>
                <w:szCs w:val="21"/>
              </w:rPr>
              <w:t>事项投诉的，应当按法律、法规有关异议的规定先向招标人提出异议，对招标人的答复不满意或招标人未答复的，可向有关行政监督</w:t>
            </w:r>
            <w:r>
              <w:rPr>
                <w:rFonts w:hint="eastAsia" w:ascii="宋体" w:hAnsi="宋体" w:eastAsia="宋体" w:cs="宋体"/>
                <w:color w:val="auto"/>
                <w:spacing w:val="-1"/>
                <w:sz w:val="21"/>
                <w:szCs w:val="21"/>
              </w:rPr>
              <w:t>部门投诉。</w:t>
            </w:r>
          </w:p>
          <w:p w14:paraId="4E46F33D">
            <w:pPr>
              <w:pStyle w:val="15"/>
              <w:keepNext w:val="0"/>
              <w:keepLines w:val="0"/>
              <w:pageBreakBefore w:val="0"/>
              <w:kinsoku/>
              <w:wordWrap/>
              <w:overflowPunct/>
              <w:topLinePunct w:val="0"/>
              <w:autoSpaceDE/>
              <w:autoSpaceDN/>
              <w:bidi w:val="0"/>
              <w:adjustRightInd/>
              <w:snapToGrid/>
              <w:spacing w:before="156" w:line="4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(2)对于按法律法规规定需要先提出异议的投诉，行政监督部门在</w:t>
            </w:r>
            <w:r>
              <w:rPr>
                <w:rFonts w:hint="eastAsia" w:ascii="宋体" w:hAnsi="宋体" w:eastAsia="宋体" w:cs="宋体"/>
                <w:color w:val="auto"/>
                <w:spacing w:val="-7"/>
                <w:sz w:val="21"/>
                <w:szCs w:val="21"/>
              </w:rPr>
              <w:t>受理投诉时另要求投诉人递交提出异议的证明文件，已向其他有关行政监督部门投诉的，应当一并说明。未按规定提出异议或者未提</w:t>
            </w:r>
            <w:r>
              <w:rPr>
                <w:rFonts w:hint="eastAsia" w:ascii="宋体" w:hAnsi="宋体" w:eastAsia="宋体" w:cs="宋体"/>
                <w:color w:val="auto"/>
                <w:spacing w:val="-1"/>
                <w:sz w:val="21"/>
                <w:szCs w:val="21"/>
              </w:rPr>
              <w:t>交已提出异议的证明文件的投诉，不予受理。</w:t>
            </w:r>
          </w:p>
          <w:p w14:paraId="1CBE86A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(3)投诉人缺乏事实根据或者法律依据进行投诉的，或者有证据表</w:t>
            </w:r>
            <w:r>
              <w:rPr>
                <w:rFonts w:hint="eastAsia" w:ascii="宋体" w:hAnsi="宋体" w:eastAsia="宋体" w:cs="宋体"/>
                <w:color w:val="auto"/>
                <w:spacing w:val="-6"/>
                <w:sz w:val="21"/>
                <w:szCs w:val="21"/>
              </w:rPr>
              <w:t>明投诉人捏造事实、伪造材料的，或者投诉人以非法手段取得证明材料进行投诉的，交通运输主管部门应当予以</w:t>
            </w:r>
            <w:r>
              <w:rPr>
                <w:rFonts w:hint="eastAsia" w:ascii="宋体" w:hAnsi="宋体" w:eastAsia="宋体" w:cs="宋体"/>
                <w:color w:val="auto"/>
                <w:spacing w:val="-7"/>
                <w:sz w:val="21"/>
                <w:szCs w:val="21"/>
              </w:rPr>
              <w:t>驳回，并对恶意投诉</w:t>
            </w:r>
            <w:r>
              <w:rPr>
                <w:rFonts w:hint="eastAsia" w:ascii="宋体" w:hAnsi="宋体" w:eastAsia="宋体" w:cs="宋体"/>
                <w:color w:val="auto"/>
                <w:sz w:val="21"/>
                <w:szCs w:val="21"/>
              </w:rPr>
              <w:t>按照有关规定追究投诉人责任。</w:t>
            </w:r>
          </w:p>
          <w:p w14:paraId="26115AD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1"/>
                <w:szCs w:val="21"/>
              </w:rPr>
              <w:t>(4)行政监督部门对投诉事项作出的处理决定，在对该项目具有招标监督职责的部门网站上进行公告，包括投诉的事由、调查结果、 处理决定、处罚依据以及处罚意见等内容。</w:t>
            </w:r>
          </w:p>
        </w:tc>
      </w:tr>
    </w:tbl>
    <w:p w14:paraId="1FE0778C">
      <w:pPr>
        <w:pageBreakBefore w:val="0"/>
        <w:kinsoku/>
        <w:wordWrap w:val="0"/>
        <w:bidi w:val="0"/>
        <w:spacing w:line="20" w:lineRule="exact"/>
        <w:jc w:val="center"/>
        <w:rPr>
          <w:rFonts w:hint="default" w:ascii="Times New Roman" w:hAnsi="Times New Roman" w:eastAsia="黑体" w:cs="Times New Roman"/>
          <w:b/>
          <w:color w:val="auto"/>
          <w:sz w:val="18"/>
          <w:szCs w:val="18"/>
          <w:highlight w:val="none"/>
        </w:rPr>
      </w:pPr>
      <w:r>
        <w:rPr>
          <w:rFonts w:hint="default" w:ascii="Times New Roman" w:hAnsi="Times New Roman" w:eastAsia="黑体" w:cs="Times New Roman"/>
          <w:color w:val="auto"/>
          <w:sz w:val="28"/>
          <w:szCs w:val="28"/>
          <w:highlight w:val="none"/>
        </w:rPr>
        <w:br w:type="page"/>
      </w:r>
    </w:p>
    <w:tbl>
      <w:tblPr>
        <w:tblStyle w:val="16"/>
        <w:tblW w:w="9272"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8338"/>
      </w:tblGrid>
      <w:tr w14:paraId="5D83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34" w:type="dxa"/>
            <w:vAlign w:val="top"/>
          </w:tcPr>
          <w:p w14:paraId="5A054EA8">
            <w:pPr>
              <w:pStyle w:val="15"/>
              <w:spacing w:before="101" w:line="219" w:lineRule="auto"/>
              <w:ind w:left="128"/>
              <w:rPr>
                <w:color w:val="auto"/>
              </w:rPr>
            </w:pPr>
            <w:bookmarkStart w:id="8" w:name="_Toc29783"/>
            <w:bookmarkStart w:id="9" w:name="_Toc234832863"/>
            <w:bookmarkStart w:id="10" w:name="_Toc12483"/>
            <w:r>
              <w:rPr>
                <w:b/>
                <w:bCs/>
                <w:color w:val="auto"/>
                <w:spacing w:val="-5"/>
              </w:rPr>
              <w:t>条款号</w:t>
            </w:r>
          </w:p>
        </w:tc>
        <w:tc>
          <w:tcPr>
            <w:tcW w:w="8338" w:type="dxa"/>
            <w:vAlign w:val="top"/>
          </w:tcPr>
          <w:p w14:paraId="392729A2">
            <w:pPr>
              <w:pStyle w:val="15"/>
              <w:spacing w:before="101" w:line="219" w:lineRule="auto"/>
              <w:ind w:left="3244"/>
              <w:rPr>
                <w:color w:val="auto"/>
              </w:rPr>
            </w:pPr>
            <w:r>
              <w:rPr>
                <w:b/>
                <w:bCs/>
                <w:color w:val="auto"/>
                <w:spacing w:val="-2"/>
              </w:rPr>
              <w:t>需要补充的其他内容</w:t>
            </w:r>
          </w:p>
        </w:tc>
      </w:tr>
      <w:tr w14:paraId="1A15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1" w:hRule="atLeast"/>
        </w:trPr>
        <w:tc>
          <w:tcPr>
            <w:tcW w:w="934" w:type="dxa"/>
            <w:vAlign w:val="top"/>
          </w:tcPr>
          <w:p w14:paraId="38C435EC">
            <w:pPr>
              <w:spacing w:line="251" w:lineRule="auto"/>
              <w:rPr>
                <w:rFonts w:ascii="Arial"/>
                <w:color w:val="auto"/>
                <w:sz w:val="24"/>
                <w:szCs w:val="24"/>
              </w:rPr>
            </w:pPr>
          </w:p>
          <w:p w14:paraId="564B8A10">
            <w:pPr>
              <w:spacing w:line="251" w:lineRule="auto"/>
              <w:rPr>
                <w:rFonts w:ascii="Arial"/>
                <w:color w:val="auto"/>
                <w:sz w:val="24"/>
                <w:szCs w:val="24"/>
              </w:rPr>
            </w:pPr>
          </w:p>
          <w:p w14:paraId="0CE5364A">
            <w:pPr>
              <w:spacing w:line="251" w:lineRule="auto"/>
              <w:rPr>
                <w:rFonts w:ascii="Arial"/>
                <w:color w:val="auto"/>
                <w:sz w:val="24"/>
                <w:szCs w:val="24"/>
              </w:rPr>
            </w:pPr>
          </w:p>
          <w:p w14:paraId="5AD851FF">
            <w:pPr>
              <w:spacing w:line="251" w:lineRule="auto"/>
              <w:rPr>
                <w:rFonts w:ascii="Arial"/>
                <w:color w:val="auto"/>
                <w:sz w:val="24"/>
                <w:szCs w:val="24"/>
              </w:rPr>
            </w:pPr>
          </w:p>
          <w:p w14:paraId="0E7E53BC">
            <w:pPr>
              <w:spacing w:line="252" w:lineRule="auto"/>
              <w:rPr>
                <w:rFonts w:ascii="Arial"/>
                <w:color w:val="auto"/>
                <w:sz w:val="24"/>
                <w:szCs w:val="24"/>
              </w:rPr>
            </w:pPr>
          </w:p>
          <w:p w14:paraId="0A2C1A23">
            <w:pPr>
              <w:spacing w:line="252" w:lineRule="auto"/>
              <w:rPr>
                <w:rFonts w:ascii="Arial"/>
                <w:color w:val="auto"/>
                <w:sz w:val="24"/>
                <w:szCs w:val="24"/>
              </w:rPr>
            </w:pPr>
          </w:p>
          <w:p w14:paraId="55172D5C">
            <w:pPr>
              <w:spacing w:line="252" w:lineRule="auto"/>
              <w:rPr>
                <w:rFonts w:ascii="Arial"/>
                <w:color w:val="auto"/>
                <w:sz w:val="24"/>
                <w:szCs w:val="24"/>
              </w:rPr>
            </w:pPr>
          </w:p>
          <w:p w14:paraId="53E1BAC3">
            <w:pPr>
              <w:spacing w:line="252" w:lineRule="auto"/>
              <w:rPr>
                <w:rFonts w:ascii="Arial"/>
                <w:color w:val="auto"/>
                <w:sz w:val="24"/>
                <w:szCs w:val="24"/>
              </w:rPr>
            </w:pPr>
          </w:p>
          <w:p w14:paraId="15B2F5C9">
            <w:pPr>
              <w:spacing w:line="252" w:lineRule="auto"/>
              <w:rPr>
                <w:rFonts w:ascii="Arial"/>
                <w:color w:val="auto"/>
                <w:sz w:val="24"/>
                <w:szCs w:val="24"/>
              </w:rPr>
            </w:pPr>
          </w:p>
          <w:p w14:paraId="4519CF06">
            <w:pPr>
              <w:spacing w:line="252" w:lineRule="auto"/>
              <w:rPr>
                <w:rFonts w:ascii="Arial"/>
                <w:color w:val="auto"/>
                <w:sz w:val="24"/>
                <w:szCs w:val="24"/>
              </w:rPr>
            </w:pPr>
          </w:p>
          <w:p w14:paraId="198EBD57">
            <w:pPr>
              <w:spacing w:line="252" w:lineRule="auto"/>
              <w:rPr>
                <w:rFonts w:ascii="Arial"/>
                <w:color w:val="auto"/>
                <w:sz w:val="24"/>
                <w:szCs w:val="24"/>
              </w:rPr>
            </w:pPr>
          </w:p>
          <w:p w14:paraId="1B5C9BEC">
            <w:pPr>
              <w:spacing w:line="252" w:lineRule="auto"/>
              <w:rPr>
                <w:rFonts w:ascii="Arial"/>
                <w:color w:val="auto"/>
                <w:sz w:val="24"/>
                <w:szCs w:val="24"/>
              </w:rPr>
            </w:pPr>
          </w:p>
          <w:p w14:paraId="14DAC237">
            <w:pPr>
              <w:pStyle w:val="15"/>
              <w:spacing w:before="72" w:line="239" w:lineRule="auto"/>
              <w:ind w:left="235"/>
              <w:rPr>
                <w:color w:val="auto"/>
                <w:sz w:val="24"/>
                <w:szCs w:val="24"/>
              </w:rPr>
            </w:pPr>
            <w:r>
              <w:rPr>
                <w:color w:val="auto"/>
                <w:spacing w:val="-5"/>
                <w:sz w:val="24"/>
                <w:szCs w:val="24"/>
              </w:rPr>
              <w:t>1.11</w:t>
            </w:r>
          </w:p>
        </w:tc>
        <w:tc>
          <w:tcPr>
            <w:tcW w:w="8338" w:type="dxa"/>
            <w:vAlign w:val="top"/>
          </w:tcPr>
          <w:p w14:paraId="0D2276D4">
            <w:pPr>
              <w:pStyle w:val="15"/>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color w:val="auto"/>
                <w:spacing w:val="0"/>
                <w:sz w:val="24"/>
                <w:szCs w:val="24"/>
              </w:rPr>
            </w:pPr>
            <w:r>
              <w:rPr>
                <w:b/>
                <w:bCs/>
                <w:color w:val="auto"/>
                <w:spacing w:val="0"/>
                <w:sz w:val="24"/>
                <w:szCs w:val="24"/>
              </w:rPr>
              <w:t>第1.11款修改为：</w:t>
            </w:r>
          </w:p>
          <w:p w14:paraId="2AC9378C">
            <w:pPr>
              <w:pStyle w:val="1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color w:val="auto"/>
                <w:spacing w:val="0"/>
                <w:sz w:val="24"/>
                <w:szCs w:val="24"/>
              </w:rPr>
            </w:pPr>
            <w:r>
              <w:rPr>
                <w:color w:val="auto"/>
                <w:spacing w:val="0"/>
                <w:sz w:val="24"/>
                <w:szCs w:val="24"/>
              </w:rPr>
              <w:t>1.11.1分包包括施工分包和劳务合作。</w:t>
            </w:r>
          </w:p>
          <w:p w14:paraId="1E325B91">
            <w:pPr>
              <w:pStyle w:val="15"/>
              <w:keepNext w:val="0"/>
              <w:keepLines w:val="0"/>
              <w:pageBreakBefore w:val="0"/>
              <w:widowControl w:val="0"/>
              <w:kinsoku/>
              <w:wordWrap/>
              <w:overflowPunct/>
              <w:topLinePunct w:val="0"/>
              <w:autoSpaceDE/>
              <w:autoSpaceDN/>
              <w:bidi w:val="0"/>
              <w:adjustRightInd/>
              <w:snapToGrid/>
              <w:spacing w:line="440" w:lineRule="exact"/>
              <w:ind w:left="0" w:firstLine="409"/>
              <w:textAlignment w:val="auto"/>
              <w:rPr>
                <w:color w:val="auto"/>
                <w:spacing w:val="0"/>
                <w:sz w:val="24"/>
                <w:szCs w:val="24"/>
              </w:rPr>
            </w:pPr>
            <w:r>
              <w:rPr>
                <w:color w:val="auto"/>
                <w:spacing w:val="0"/>
                <w:sz w:val="24"/>
                <w:szCs w:val="24"/>
              </w:rPr>
              <w:t>施工分包是指：承包人将其所承包工程中的部分单位工程、分部工程或者分项工程发包给其他专业施工企业，整体结算，由分包人自行编制施工方案和组织完成全部施工作业并能独立控制分包工程质量、施工进度、生产安全等的施工活动。施工分包人是指：从承包人处分包部分单位工程、分部工程或者分项工程的专业施工企业。</w:t>
            </w:r>
          </w:p>
          <w:p w14:paraId="7C142515">
            <w:pPr>
              <w:pStyle w:val="15"/>
              <w:keepNext w:val="0"/>
              <w:keepLines w:val="0"/>
              <w:pageBreakBefore w:val="0"/>
              <w:widowControl w:val="0"/>
              <w:kinsoku/>
              <w:wordWrap/>
              <w:overflowPunct/>
              <w:topLinePunct w:val="0"/>
              <w:autoSpaceDE/>
              <w:autoSpaceDN/>
              <w:bidi w:val="0"/>
              <w:adjustRightInd/>
              <w:snapToGrid/>
              <w:spacing w:line="440" w:lineRule="exact"/>
              <w:ind w:left="0" w:firstLine="409"/>
              <w:textAlignment w:val="auto"/>
              <w:rPr>
                <w:color w:val="auto"/>
                <w:spacing w:val="0"/>
                <w:sz w:val="24"/>
                <w:szCs w:val="24"/>
              </w:rPr>
            </w:pPr>
            <w:r>
              <w:rPr>
                <w:color w:val="auto"/>
                <w:spacing w:val="0"/>
                <w:sz w:val="24"/>
                <w:szCs w:val="24"/>
              </w:rPr>
              <w:t>劳务合作是指：除施工分包以外，承包人(分包人)与他人合作完成的其他以劳务活动为主，由劳务企业提供劳务作业人员及所需机具(不限制规模),由承包人(分包人) 负责施工方案编制和组织实施并统一控制工程质量、施工进度、主要材料采购、生产安全等的施工活动。</w:t>
            </w:r>
          </w:p>
          <w:p w14:paraId="53ED9458">
            <w:pPr>
              <w:pStyle w:val="15"/>
              <w:keepNext w:val="0"/>
              <w:keepLines w:val="0"/>
              <w:pageBreakBefore w:val="0"/>
              <w:widowControl w:val="0"/>
              <w:kinsoku/>
              <w:wordWrap/>
              <w:overflowPunct/>
              <w:topLinePunct w:val="0"/>
              <w:autoSpaceDE/>
              <w:autoSpaceDN/>
              <w:bidi w:val="0"/>
              <w:adjustRightInd/>
              <w:snapToGrid/>
              <w:spacing w:line="440" w:lineRule="exact"/>
              <w:ind w:left="0" w:firstLine="409"/>
              <w:textAlignment w:val="auto"/>
              <w:rPr>
                <w:color w:val="auto"/>
                <w:spacing w:val="0"/>
                <w:sz w:val="24"/>
                <w:szCs w:val="24"/>
              </w:rPr>
            </w:pPr>
            <w:r>
              <w:rPr>
                <w:color w:val="auto"/>
                <w:spacing w:val="0"/>
                <w:sz w:val="24"/>
                <w:szCs w:val="24"/>
              </w:rPr>
              <w:t>1.11.2施工分包</w:t>
            </w:r>
          </w:p>
          <w:p w14:paraId="3C88AA70">
            <w:pPr>
              <w:pStyle w:val="15"/>
              <w:keepNext w:val="0"/>
              <w:keepLines w:val="0"/>
              <w:pageBreakBefore w:val="0"/>
              <w:widowControl w:val="0"/>
              <w:kinsoku/>
              <w:wordWrap/>
              <w:overflowPunct/>
              <w:topLinePunct w:val="0"/>
              <w:autoSpaceDE/>
              <w:autoSpaceDN/>
              <w:bidi w:val="0"/>
              <w:adjustRightInd/>
              <w:snapToGrid/>
              <w:spacing w:line="440" w:lineRule="exact"/>
              <w:ind w:left="0" w:firstLine="409"/>
              <w:textAlignment w:val="auto"/>
              <w:rPr>
                <w:color w:val="auto"/>
                <w:spacing w:val="0"/>
                <w:sz w:val="24"/>
                <w:szCs w:val="24"/>
              </w:rPr>
            </w:pPr>
            <w:r>
              <w:rPr>
                <w:color w:val="auto"/>
                <w:spacing w:val="0"/>
                <w:sz w:val="24"/>
                <w:szCs w:val="24"/>
              </w:rPr>
              <w:t>本工程分包要求：</w:t>
            </w:r>
            <w:r>
              <w:rPr>
                <w:color w:val="auto"/>
                <w:spacing w:val="0"/>
                <w:sz w:val="24"/>
                <w:szCs w:val="24"/>
                <w:u w:val="single" w:color="auto"/>
              </w:rPr>
              <w:t>本工程不允许施工分包</w:t>
            </w:r>
            <w:r>
              <w:rPr>
                <w:color w:val="auto"/>
                <w:spacing w:val="0"/>
                <w:sz w:val="24"/>
                <w:szCs w:val="24"/>
              </w:rPr>
              <w:t>。</w:t>
            </w:r>
          </w:p>
          <w:p w14:paraId="65DA2AE5">
            <w:pPr>
              <w:pStyle w:val="15"/>
              <w:keepNext w:val="0"/>
              <w:keepLines w:val="0"/>
              <w:pageBreakBefore w:val="0"/>
              <w:widowControl w:val="0"/>
              <w:kinsoku/>
              <w:wordWrap/>
              <w:overflowPunct/>
              <w:topLinePunct w:val="0"/>
              <w:autoSpaceDE/>
              <w:autoSpaceDN/>
              <w:bidi w:val="0"/>
              <w:adjustRightInd/>
              <w:snapToGrid/>
              <w:spacing w:line="440" w:lineRule="exact"/>
              <w:ind w:left="0" w:firstLine="409"/>
              <w:textAlignment w:val="auto"/>
              <w:rPr>
                <w:color w:val="auto"/>
                <w:sz w:val="24"/>
                <w:szCs w:val="24"/>
              </w:rPr>
            </w:pPr>
            <w:r>
              <w:rPr>
                <w:color w:val="auto"/>
                <w:spacing w:val="0"/>
                <w:sz w:val="24"/>
                <w:szCs w:val="24"/>
              </w:rPr>
              <w:t>1.11.3中标人严禁将承包的公路工程进行转包或违法分包。中标人可依法进行劳务合作，但禁止以劳务合作的名义进行施工分包。中标人应就分包项目向招标人负责，接受分包的人就分包项目承担连带责任。施工分包人不得将承接的分包工程再进行施工分包和转包，但可将劳务作业分包给具有相应资质的劳务合作企业。</w:t>
            </w:r>
          </w:p>
        </w:tc>
      </w:tr>
      <w:tr w14:paraId="143C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34" w:type="dxa"/>
            <w:vAlign w:val="top"/>
          </w:tcPr>
          <w:p w14:paraId="50DE3165">
            <w:pPr>
              <w:spacing w:line="262" w:lineRule="auto"/>
              <w:rPr>
                <w:rFonts w:ascii="Arial"/>
                <w:color w:val="auto"/>
                <w:sz w:val="24"/>
                <w:szCs w:val="24"/>
              </w:rPr>
            </w:pPr>
          </w:p>
          <w:p w14:paraId="74D683EB">
            <w:pPr>
              <w:spacing w:line="262" w:lineRule="auto"/>
              <w:rPr>
                <w:rFonts w:ascii="Arial"/>
                <w:color w:val="auto"/>
                <w:sz w:val="24"/>
                <w:szCs w:val="24"/>
              </w:rPr>
            </w:pPr>
          </w:p>
          <w:p w14:paraId="2F33F099">
            <w:pPr>
              <w:spacing w:line="262" w:lineRule="auto"/>
              <w:rPr>
                <w:rFonts w:ascii="Arial"/>
                <w:color w:val="auto"/>
                <w:sz w:val="24"/>
                <w:szCs w:val="24"/>
              </w:rPr>
            </w:pPr>
          </w:p>
          <w:p w14:paraId="5F98AFEE">
            <w:pPr>
              <w:spacing w:line="262" w:lineRule="auto"/>
              <w:rPr>
                <w:rFonts w:ascii="Arial"/>
                <w:color w:val="auto"/>
                <w:sz w:val="24"/>
                <w:szCs w:val="24"/>
              </w:rPr>
            </w:pPr>
          </w:p>
          <w:p w14:paraId="19B95A5B">
            <w:pPr>
              <w:spacing w:line="262" w:lineRule="auto"/>
              <w:rPr>
                <w:rFonts w:ascii="Arial"/>
                <w:color w:val="auto"/>
                <w:sz w:val="24"/>
                <w:szCs w:val="24"/>
              </w:rPr>
            </w:pPr>
          </w:p>
          <w:p w14:paraId="560DC039">
            <w:pPr>
              <w:spacing w:line="262" w:lineRule="auto"/>
              <w:rPr>
                <w:rFonts w:ascii="Arial"/>
                <w:color w:val="auto"/>
                <w:sz w:val="24"/>
                <w:szCs w:val="24"/>
              </w:rPr>
            </w:pPr>
          </w:p>
          <w:p w14:paraId="64C87827">
            <w:pPr>
              <w:spacing w:line="262" w:lineRule="auto"/>
              <w:rPr>
                <w:rFonts w:ascii="Arial"/>
                <w:color w:val="auto"/>
                <w:sz w:val="24"/>
                <w:szCs w:val="24"/>
              </w:rPr>
            </w:pPr>
          </w:p>
          <w:p w14:paraId="69326405">
            <w:pPr>
              <w:pStyle w:val="15"/>
              <w:spacing w:before="71" w:line="239" w:lineRule="auto"/>
              <w:ind w:left="294" w:leftChars="0"/>
              <w:rPr>
                <w:color w:val="auto"/>
                <w:spacing w:val="-5"/>
                <w:sz w:val="24"/>
                <w:szCs w:val="24"/>
              </w:rPr>
            </w:pPr>
            <w:r>
              <w:rPr>
                <w:color w:val="auto"/>
                <w:spacing w:val="-3"/>
                <w:sz w:val="24"/>
                <w:szCs w:val="24"/>
              </w:rPr>
              <w:t>3.2</w:t>
            </w:r>
          </w:p>
        </w:tc>
        <w:tc>
          <w:tcPr>
            <w:tcW w:w="8338" w:type="dxa"/>
            <w:vAlign w:val="top"/>
          </w:tcPr>
          <w:p w14:paraId="1381486D">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3.2投标报价</w:t>
            </w:r>
          </w:p>
          <w:p w14:paraId="14FC85ED">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第3.2.5项补充：</w:t>
            </w:r>
          </w:p>
          <w:p w14:paraId="20341941">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根据《公路水运工程安全生产监督管理办法》以及《企业安全生产费用提取和使用管理办法》(财资〔2022〕136号)的规定，在投标总价中计入安全生产费用，安全生产费用以固定金额形式计入工程量清单第100章中，投标人在中标后不得对该固定金额进行调整。如投标人须在此基础上增加安全生产费用以满足项目施工需要，则视为投标人已在投标总价中予以考虑，发包人不再单独支付。</w:t>
            </w:r>
          </w:p>
          <w:p w14:paraId="0003957E">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承包人的施工安全生产费用，应当用于施工安全防护用具及设施的采购和更新、安全施工措施的落实、安全生产条件的改善，不得挪作他用。</w:t>
            </w:r>
          </w:p>
          <w:p w14:paraId="01CD18B1">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第3.2.7项细化：</w:t>
            </w:r>
          </w:p>
          <w:p w14:paraId="451308CA">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本工程招标采用限价招标，招标人设有最高投标限价(N)。投标人的投标报价(X)不得超过最高投标限价(N),否则评标委员会将否决其投标，招标人给定的最高投标限 价(N)如下：</w:t>
            </w:r>
          </w:p>
          <w:tbl>
            <w:tblPr>
              <w:tblStyle w:val="16"/>
              <w:tblW w:w="8079"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0"/>
              <w:gridCol w:w="2719"/>
            </w:tblGrid>
            <w:tr w14:paraId="58B2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360" w:type="dxa"/>
                  <w:vAlign w:val="top"/>
                </w:tcPr>
                <w:p w14:paraId="270A5E89">
                  <w:pPr>
                    <w:pStyle w:val="15"/>
                    <w:spacing w:before="1" w:line="346" w:lineRule="auto"/>
                    <w:ind w:left="111" w:leftChars="0" w:firstLine="389" w:firstLineChars="0"/>
                    <w:jc w:val="center"/>
                    <w:rPr>
                      <w:rFonts w:hint="eastAsia"/>
                      <w:b w:val="0"/>
                      <w:bCs w:val="0"/>
                      <w:color w:val="auto"/>
                      <w:spacing w:val="0"/>
                      <w:sz w:val="24"/>
                      <w:szCs w:val="24"/>
                    </w:rPr>
                  </w:pPr>
                  <w:r>
                    <w:rPr>
                      <w:rFonts w:hint="eastAsia"/>
                      <w:b w:val="0"/>
                      <w:bCs w:val="0"/>
                      <w:color w:val="auto"/>
                      <w:spacing w:val="0"/>
                      <w:sz w:val="24"/>
                      <w:szCs w:val="24"/>
                    </w:rPr>
                    <w:t>工程名称</w:t>
                  </w:r>
                </w:p>
              </w:tc>
              <w:tc>
                <w:tcPr>
                  <w:tcW w:w="2719" w:type="dxa"/>
                  <w:vAlign w:val="top"/>
                </w:tcPr>
                <w:p w14:paraId="651C2999">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最高投标限价(元)</w:t>
                  </w:r>
                </w:p>
              </w:tc>
            </w:tr>
            <w:tr w14:paraId="5CF5B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360" w:type="dxa"/>
                  <w:vAlign w:val="center"/>
                </w:tcPr>
                <w:p w14:paraId="2406DC85">
                  <w:pPr>
                    <w:pStyle w:val="15"/>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eastAsia="宋体"/>
                      <w:b w:val="0"/>
                      <w:bCs w:val="0"/>
                      <w:color w:val="auto"/>
                      <w:spacing w:val="0"/>
                      <w:sz w:val="24"/>
                      <w:szCs w:val="24"/>
                      <w:lang w:eastAsia="zh-CN"/>
                    </w:rPr>
                  </w:pPr>
                  <w:r>
                    <w:rPr>
                      <w:rFonts w:hint="eastAsia" w:eastAsia="宋体"/>
                      <w:b w:val="0"/>
                      <w:bCs w:val="0"/>
                      <w:color w:val="auto"/>
                      <w:spacing w:val="0"/>
                      <w:sz w:val="24"/>
                      <w:szCs w:val="24"/>
                      <w:lang w:eastAsia="zh-CN"/>
                    </w:rPr>
                    <w:t>抚顺市国道饶盖线（沙梨沟桥）桥梁拆除重建养护工程施工、抚顺市省道平桓线（甘井子桥）桥梁拆除重建养护工程施工、抚顺市省道草开线（缪家店桥）桥梁拆除重建养护工程施工</w:t>
                  </w:r>
                </w:p>
              </w:tc>
              <w:tc>
                <w:tcPr>
                  <w:tcW w:w="2719" w:type="dxa"/>
                  <w:vAlign w:val="center"/>
                </w:tcPr>
                <w:p w14:paraId="2DDEF6FF">
                  <w:pPr>
                    <w:pStyle w:val="15"/>
                    <w:spacing w:before="1" w:line="346" w:lineRule="auto"/>
                    <w:jc w:val="center"/>
                    <w:rPr>
                      <w:rFonts w:hint="default" w:eastAsia="宋体"/>
                      <w:b w:val="0"/>
                      <w:bCs w:val="0"/>
                      <w:color w:val="auto"/>
                      <w:spacing w:val="0"/>
                      <w:sz w:val="24"/>
                      <w:szCs w:val="24"/>
                      <w:lang w:val="en-US" w:eastAsia="zh-CN"/>
                    </w:rPr>
                  </w:pPr>
                  <w:r>
                    <w:rPr>
                      <w:rFonts w:hint="eastAsia"/>
                      <w:b w:val="0"/>
                      <w:bCs w:val="0"/>
                      <w:color w:val="auto"/>
                      <w:spacing w:val="0"/>
                      <w:sz w:val="24"/>
                      <w:szCs w:val="24"/>
                    </w:rPr>
                    <w:t>¥</w:t>
                  </w:r>
                  <w:r>
                    <w:rPr>
                      <w:rFonts w:hint="eastAsia"/>
                      <w:b w:val="0"/>
                      <w:bCs w:val="0"/>
                      <w:color w:val="auto"/>
                      <w:spacing w:val="0"/>
                      <w:sz w:val="24"/>
                      <w:szCs w:val="24"/>
                      <w:lang w:val="en-US" w:eastAsia="zh-CN"/>
                    </w:rPr>
                    <w:t>2463000</w:t>
                  </w:r>
                </w:p>
              </w:tc>
            </w:tr>
          </w:tbl>
          <w:p w14:paraId="4F794336">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3.2.8投标报价的其他要求：</w:t>
            </w:r>
          </w:p>
          <w:p w14:paraId="67E18E76">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3.2.8.1投标人在填报投标总报价时，应充分考虑以下工作内容所产生的一切费用，招标人在支付合同价款时，将视为该部分费用已含入工程量清单各支付子目的单价或总额价中，不再另行支付：</w:t>
            </w:r>
          </w:p>
          <w:p w14:paraId="005AC1C3">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(1)施工用电和水应由投标人自行调查解决，所需费用均应已含入工程量清单各支付子目的单价或总额价中，并计入签约合同价，招标人将不另行支付。</w:t>
            </w:r>
          </w:p>
          <w:p w14:paraId="2A9D4312">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(2)中标人应根据工程实际情况确定临时占地最长使用期限，临时占地的租地费用由投标人在投标阶段综合考虑并计入相关清单子目报价中，招标人将不另行支付。</w:t>
            </w:r>
          </w:p>
          <w:p w14:paraId="29F9179A">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投标人的投标报价中应含各类保险费，投保的范围与条件和保险费率等规定详见第四章“项目专用合同条款数据表”第20.1款、第20.4款、第20.5款。各类保险费均已含入工程量清单各支付子目的单价中，并计入签约合同价，招标人将不另行支付。</w:t>
            </w:r>
          </w:p>
          <w:p w14:paraId="016CDFAF">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(4)投标人的投标价应包括投标人完成本招标项目施工、缺陷修复工作的全部费用。</w:t>
            </w:r>
          </w:p>
          <w:p w14:paraId="3853BA69">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(5)投标人应自行踏勘现场以充分了解工地位置、情况、道路、储存空间、装卸限制及任何其他足以影响投标报价的情况，任何因忽视或误解工地情况而导致的索赔或工期延长申请将不被批准。</w:t>
            </w:r>
          </w:p>
          <w:p w14:paraId="6E11C8EF">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(6)施工期间承包人必须严格执行国家、地方政府有关施工安全管理方面的法律、法规及规章制度，同时严格执行发包人制订的本项目安全生产管理方面的规章制度、安全检查程序及施工安全管理要求，所需费用均已含入工程量清单各支付子目的单价或总额价中，并计入签约合同价，招标人将不另行支付。</w:t>
            </w:r>
          </w:p>
          <w:p w14:paraId="484568BE">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(7)投标人应充分考虑采购满足招标人要求的材料所需的一切费用，所需费用均已含入工程量清单各支付子目的单价或总额价中，并计入签约合同价，招标人将不另行支付。</w:t>
            </w:r>
          </w:p>
          <w:p w14:paraId="0EE140D6">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(8)投标人应充分考虑本项目施工过程中为保证道路通行所采取的各项必要措施，所需费用均已含入工程量清单各支付子目的单价或总额价中，并计入签约合同价，招标人将不另行支付。</w:t>
            </w:r>
          </w:p>
          <w:p w14:paraId="1071FD97">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(9)投标人应充分考虑不间断施工所需的生产生活相关费用，所需费用均已含入工程量清单各支付子目的单价或总额价中，并计入签约合同价，招标人将不另行支付。</w:t>
            </w:r>
          </w:p>
          <w:p w14:paraId="033F0A94">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(10)本项目承包人的临时用地选址应由投标人自行调查解决，各投标人应对临时用地位置和面积合理设置施工所需的生产生活设施，所需费用均已含入工程量清单各支付子目的单价或总额价中，并计入签约合同价，招标人将不另行支付。</w:t>
            </w:r>
          </w:p>
          <w:p w14:paraId="3A3AC5A5">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(11)投标人应充分考虑本项目施工可能与其他工程等发生的干扰与交叉，并将因此带来的费用含入工程量清单各支付子目的单价或总额价中，并计入签约合同价，招标人将不另行支付。</w:t>
            </w:r>
          </w:p>
          <w:p w14:paraId="793B6B91">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w:t>
            </w:r>
            <w:r>
              <w:rPr>
                <w:rFonts w:hint="eastAsia"/>
                <w:b w:val="0"/>
                <w:bCs w:val="0"/>
                <w:color w:val="auto"/>
                <w:spacing w:val="0"/>
                <w:sz w:val="24"/>
                <w:szCs w:val="24"/>
                <w:lang w:val="en-US" w:eastAsia="zh-CN"/>
              </w:rPr>
              <w:t>2</w:t>
            </w:r>
            <w:r>
              <w:rPr>
                <w:rFonts w:hint="eastAsia"/>
                <w:b w:val="0"/>
                <w:bCs w:val="0"/>
                <w:color w:val="auto"/>
                <w:spacing w:val="0"/>
                <w:sz w:val="24"/>
                <w:szCs w:val="24"/>
              </w:rPr>
              <w:t>)拆除后的钢护栏由中标人负责拆除并运送至招标人指定的最近的养护公司，所需费用均已含入工程量清单各支付子目的单价或总额价中，并计入签约合同价，招标人将不另行支付。</w:t>
            </w:r>
          </w:p>
          <w:p w14:paraId="04137468">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w:t>
            </w:r>
            <w:r>
              <w:rPr>
                <w:rFonts w:hint="eastAsia"/>
                <w:b w:val="0"/>
                <w:bCs w:val="0"/>
                <w:color w:val="auto"/>
                <w:spacing w:val="0"/>
                <w:sz w:val="24"/>
                <w:szCs w:val="24"/>
                <w:lang w:val="en-US" w:eastAsia="zh-CN"/>
              </w:rPr>
              <w:t>3</w:t>
            </w:r>
            <w:r>
              <w:rPr>
                <w:rFonts w:hint="eastAsia"/>
                <w:b w:val="0"/>
                <w:bCs w:val="0"/>
                <w:color w:val="auto"/>
                <w:spacing w:val="0"/>
                <w:sz w:val="24"/>
                <w:szCs w:val="24"/>
              </w:rPr>
              <w:t>)项目如涉及临时通行便道建设等，所需费用均已含入工程量清单各支付子目的单价或总额价中，并计入签约合同价，招标人将不另行支付。</w:t>
            </w:r>
          </w:p>
          <w:p w14:paraId="1A426104">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(1</w:t>
            </w:r>
            <w:r>
              <w:rPr>
                <w:rFonts w:hint="eastAsia"/>
                <w:b w:val="0"/>
                <w:bCs w:val="0"/>
                <w:color w:val="auto"/>
                <w:spacing w:val="0"/>
                <w:sz w:val="24"/>
                <w:szCs w:val="24"/>
                <w:lang w:val="en-US" w:eastAsia="zh-CN"/>
              </w:rPr>
              <w:t>4</w:t>
            </w:r>
            <w:r>
              <w:rPr>
                <w:rFonts w:hint="eastAsia"/>
                <w:b w:val="0"/>
                <w:bCs w:val="0"/>
                <w:color w:val="auto"/>
                <w:spacing w:val="0"/>
                <w:sz w:val="24"/>
                <w:szCs w:val="24"/>
              </w:rPr>
              <w:t>)除招标文件另有规定外，根据国家和辽宁省有关的法律、法规的规定，以投标人作为征收对象的所有税费，包括因国家实行营业税改增值税征收税费而引起的费用的变化，均包含在投标人的工程量清单各子目的综合单价中，并计入签约合同价，招标人不另行支付(增加或扣减),中标人按照国家相关税收法律、法规出具各支付款项的增值税专用(或普通)发票。</w:t>
            </w:r>
          </w:p>
          <w:p w14:paraId="06CCC550">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3.2.8.2本项目招标代理服务费不由中标人支付，投标人在投标报价时无需考虑该部分费用。</w:t>
            </w:r>
          </w:p>
        </w:tc>
      </w:tr>
      <w:tr w14:paraId="5FD8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34" w:type="dxa"/>
            <w:vAlign w:val="center"/>
          </w:tcPr>
          <w:p w14:paraId="36A89D45">
            <w:pPr>
              <w:pStyle w:val="15"/>
              <w:spacing w:before="71" w:line="239" w:lineRule="auto"/>
              <w:jc w:val="center"/>
              <w:rPr>
                <w:rFonts w:hint="default" w:eastAsia="宋体"/>
                <w:color w:val="auto"/>
                <w:spacing w:val="-3"/>
                <w:sz w:val="24"/>
                <w:szCs w:val="24"/>
                <w:highlight w:val="none"/>
                <w:lang w:val="en-US" w:eastAsia="zh-CN"/>
              </w:rPr>
            </w:pPr>
            <w:r>
              <w:rPr>
                <w:rFonts w:hint="eastAsia"/>
                <w:color w:val="auto"/>
                <w:spacing w:val="-3"/>
                <w:sz w:val="24"/>
                <w:szCs w:val="24"/>
                <w:highlight w:val="none"/>
                <w:lang w:val="en-US" w:eastAsia="zh-CN"/>
              </w:rPr>
              <w:t>3.5</w:t>
            </w:r>
          </w:p>
        </w:tc>
        <w:tc>
          <w:tcPr>
            <w:tcW w:w="8338" w:type="dxa"/>
            <w:vAlign w:val="top"/>
          </w:tcPr>
          <w:p w14:paraId="23BCCAE3">
            <w:pPr>
              <w:pStyle w:val="15"/>
              <w:keepNext w:val="0"/>
              <w:keepLines w:val="0"/>
              <w:pageBreakBefore w:val="0"/>
              <w:widowControl w:val="0"/>
              <w:kinsoku/>
              <w:overflowPunct/>
              <w:autoSpaceDE/>
              <w:autoSpaceDN/>
              <w:bidi w:val="0"/>
              <w:adjustRightInd/>
              <w:snapToGrid/>
              <w:spacing w:line="440" w:lineRule="exact"/>
              <w:ind w:left="0" w:leftChars="0" w:firstLine="389" w:firstLineChars="0"/>
              <w:textAlignment w:val="auto"/>
              <w:rPr>
                <w:rFonts w:hint="eastAsia" w:ascii="Times New Roman" w:hAnsi="Times New Roman" w:eastAsia="宋体" w:cs="Times New Roman"/>
                <w:b w:val="0"/>
                <w:bCs w:val="0"/>
                <w:color w:val="auto"/>
                <w:spacing w:val="0"/>
                <w:kern w:val="2"/>
                <w:sz w:val="24"/>
                <w:szCs w:val="24"/>
                <w:highlight w:val="none"/>
                <w:lang w:val="en-US" w:eastAsia="zh-CN" w:bidi="ar-SA"/>
              </w:rPr>
            </w:pPr>
            <w:r>
              <w:rPr>
                <w:rFonts w:hint="eastAsia" w:ascii="Times New Roman" w:hAnsi="Times New Roman" w:eastAsia="宋体" w:cs="Times New Roman"/>
                <w:b w:val="0"/>
                <w:bCs w:val="0"/>
                <w:color w:val="auto"/>
                <w:spacing w:val="0"/>
                <w:kern w:val="2"/>
                <w:sz w:val="24"/>
                <w:szCs w:val="24"/>
                <w:highlight w:val="none"/>
                <w:lang w:val="en-US" w:eastAsia="zh-CN" w:bidi="ar-SA"/>
              </w:rPr>
              <w:t>3.5资格审查资料</w:t>
            </w:r>
          </w:p>
          <w:p w14:paraId="41DDB97A">
            <w:pPr>
              <w:pStyle w:val="15"/>
              <w:keepNext w:val="0"/>
              <w:keepLines w:val="0"/>
              <w:pageBreakBefore w:val="0"/>
              <w:widowControl w:val="0"/>
              <w:kinsoku/>
              <w:overflowPunct/>
              <w:autoSpaceDE/>
              <w:autoSpaceDN/>
              <w:bidi w:val="0"/>
              <w:adjustRightInd/>
              <w:snapToGrid/>
              <w:spacing w:line="440" w:lineRule="exact"/>
              <w:ind w:left="0" w:leftChars="0" w:firstLine="389" w:firstLineChars="0"/>
              <w:textAlignment w:val="auto"/>
              <w:rPr>
                <w:rFonts w:hint="eastAsia" w:ascii="Times New Roman" w:hAnsi="Times New Roman" w:eastAsia="宋体" w:cs="Times New Roman"/>
                <w:b w:val="0"/>
                <w:bCs w:val="0"/>
                <w:color w:val="auto"/>
                <w:spacing w:val="0"/>
                <w:kern w:val="2"/>
                <w:sz w:val="24"/>
                <w:szCs w:val="24"/>
                <w:highlight w:val="none"/>
                <w:lang w:val="en-US" w:eastAsia="zh-CN" w:bidi="ar-SA"/>
              </w:rPr>
            </w:pPr>
            <w:r>
              <w:rPr>
                <w:rFonts w:hint="eastAsia" w:ascii="Times New Roman" w:hAnsi="Times New Roman" w:eastAsia="宋体" w:cs="Times New Roman"/>
                <w:b w:val="0"/>
                <w:bCs w:val="0"/>
                <w:color w:val="auto"/>
                <w:spacing w:val="0"/>
                <w:kern w:val="2"/>
                <w:sz w:val="24"/>
                <w:szCs w:val="24"/>
                <w:highlight w:val="none"/>
                <w:lang w:val="en-US" w:eastAsia="zh-CN" w:bidi="ar-SA"/>
              </w:rPr>
              <w:t>补充第3.5.9款：</w:t>
            </w:r>
          </w:p>
          <w:p w14:paraId="7DD3DB94">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b w:val="0"/>
                <w:bCs w:val="0"/>
                <w:color w:val="auto"/>
                <w:spacing w:val="0"/>
                <w:sz w:val="24"/>
                <w:szCs w:val="24"/>
                <w:highlight w:val="none"/>
              </w:rPr>
            </w:pPr>
            <w:r>
              <w:rPr>
                <w:rFonts w:hint="default" w:ascii="Times New Roman" w:hAnsi="Times New Roman" w:eastAsia="宋体" w:cs="Times New Roman"/>
                <w:b w:val="0"/>
                <w:bCs w:val="0"/>
                <w:color w:val="auto"/>
                <w:spacing w:val="0"/>
                <w:kern w:val="2"/>
                <w:sz w:val="24"/>
                <w:szCs w:val="24"/>
                <w:highlight w:val="none"/>
                <w:lang w:val="en-US" w:eastAsia="zh-CN" w:bidi="ar-SA"/>
              </w:rPr>
              <w:t xml:space="preserve">3.5.9 </w:t>
            </w:r>
            <w:r>
              <w:rPr>
                <w:rFonts w:hint="eastAsia" w:ascii="Times New Roman" w:hAnsi="Times New Roman" w:eastAsia="宋体" w:cs="Times New Roman"/>
                <w:b w:val="0"/>
                <w:bCs w:val="0"/>
                <w:color w:val="auto"/>
                <w:spacing w:val="0"/>
                <w:kern w:val="2"/>
                <w:sz w:val="24"/>
                <w:szCs w:val="24"/>
                <w:highlight w:val="none"/>
                <w:lang w:val="en-US" w:eastAsia="zh-CN" w:bidi="ar-SA"/>
              </w:rPr>
              <w:t>除合同约定特殊情形外，投标人投标文件中填报的项目经理、项目总工原则上不得更换。确因不可抗力、履职受限等特殊情况需要更换的，人员更换总次数不得超过2次，且更换人员资质、执业资格等条件不得低于原投标人员标准，并须经招标人审核批准后方可执行。</w:t>
            </w:r>
          </w:p>
        </w:tc>
      </w:tr>
      <w:tr w14:paraId="7457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34" w:type="dxa"/>
            <w:vAlign w:val="center"/>
          </w:tcPr>
          <w:p w14:paraId="090B733A">
            <w:pPr>
              <w:pStyle w:val="15"/>
              <w:spacing w:before="71" w:line="239" w:lineRule="auto"/>
              <w:jc w:val="center"/>
              <w:rPr>
                <w:rFonts w:hint="default" w:eastAsia="宋体"/>
                <w:color w:val="auto"/>
                <w:spacing w:val="-3"/>
                <w:sz w:val="24"/>
                <w:szCs w:val="24"/>
                <w:lang w:val="en-US" w:eastAsia="zh-CN"/>
              </w:rPr>
            </w:pPr>
            <w:r>
              <w:rPr>
                <w:rFonts w:hint="eastAsia"/>
                <w:color w:val="auto"/>
                <w:spacing w:val="-3"/>
                <w:sz w:val="24"/>
                <w:szCs w:val="24"/>
                <w:lang w:val="en-US" w:eastAsia="zh-CN"/>
              </w:rPr>
              <w:t>3.7</w:t>
            </w:r>
          </w:p>
        </w:tc>
        <w:tc>
          <w:tcPr>
            <w:tcW w:w="8338" w:type="dxa"/>
            <w:vAlign w:val="top"/>
          </w:tcPr>
          <w:p w14:paraId="112F34FD">
            <w:pPr>
              <w:pStyle w:val="15"/>
              <w:spacing w:before="1" w:line="346" w:lineRule="auto"/>
              <w:ind w:left="111" w:leftChars="0" w:firstLine="389" w:firstLineChars="0"/>
              <w:rPr>
                <w:rFonts w:hint="eastAsia"/>
                <w:b/>
                <w:bCs/>
                <w:color w:val="auto"/>
                <w:spacing w:val="0"/>
                <w:sz w:val="24"/>
                <w:szCs w:val="24"/>
              </w:rPr>
            </w:pPr>
            <w:r>
              <w:rPr>
                <w:rFonts w:hint="eastAsia"/>
                <w:b/>
                <w:bCs/>
                <w:color w:val="auto"/>
                <w:spacing w:val="0"/>
                <w:sz w:val="24"/>
                <w:szCs w:val="24"/>
              </w:rPr>
              <w:t>3.7投标文件的编制</w:t>
            </w:r>
          </w:p>
          <w:p w14:paraId="4A3FAE26">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本款第3.7.6项约定为：</w:t>
            </w:r>
          </w:p>
          <w:p w14:paraId="5814A3C5">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 xml:space="preserve">3.7.6投标文件第一个信封(商务及技术文件)不得出现有关投标报价的内容。 </w:t>
            </w:r>
          </w:p>
          <w:p w14:paraId="491CD2B5">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本款补充第3.7.7项</w:t>
            </w:r>
            <w:r>
              <w:rPr>
                <w:rFonts w:hint="eastAsia" w:ascii="宋体" w:hAnsi="宋体" w:eastAsia="宋体" w:cs="宋体"/>
                <w:b w:val="0"/>
                <w:bCs w:val="0"/>
                <w:color w:val="auto"/>
                <w:spacing w:val="0"/>
                <w:sz w:val="24"/>
                <w:szCs w:val="24"/>
              </w:rPr>
              <w:t>～</w:t>
            </w:r>
            <w:r>
              <w:rPr>
                <w:rFonts w:hint="eastAsia"/>
                <w:b w:val="0"/>
                <w:bCs w:val="0"/>
                <w:color w:val="auto"/>
                <w:spacing w:val="0"/>
                <w:sz w:val="24"/>
                <w:szCs w:val="24"/>
              </w:rPr>
              <w:t>第3.7.8项：</w:t>
            </w:r>
          </w:p>
          <w:p w14:paraId="0AB8F571">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3.7.7投标人应在“辽宁省公共资源交易平台交通工程交易系统主体信息库”中建立信用信息档案，并对在系统中所填报内容的真实性、准确性和完整性负责。投标人需要在“辽宁省公共资源交易平台交通工程交易系统主体信息库”中备案或更新的内容，应在投标文件递交截止时间之前完成备案或更新，未录入、更新至“辽宁省公共资源交易平台交通工程交易系统主体信息库”的信息数据，均不予认可。</w:t>
            </w:r>
          </w:p>
          <w:p w14:paraId="446907B8">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3.7.8通过辽宁省公共资源交易平台制作电子招标文件时，投标文件格式中的“近年财务状况(含财务状况表、银行信贷证明)”、“拟委任的其他管理和技术人员汇总表”</w:t>
            </w:r>
            <w:r>
              <w:rPr>
                <w:rFonts w:hint="eastAsia"/>
                <w:b w:val="0"/>
                <w:bCs w:val="0"/>
                <w:color w:val="auto"/>
                <w:spacing w:val="0"/>
                <w:sz w:val="24"/>
                <w:szCs w:val="24"/>
                <w:lang w:eastAsia="zh-CN"/>
              </w:rPr>
              <w:t>、</w:t>
            </w:r>
            <w:r>
              <w:rPr>
                <w:rFonts w:hint="eastAsia"/>
                <w:b w:val="0"/>
                <w:bCs w:val="0"/>
                <w:color w:val="auto"/>
                <w:spacing w:val="0"/>
                <w:sz w:val="24"/>
                <w:szCs w:val="24"/>
              </w:rPr>
              <w:t>“拟委任的其他管理和技术人员资历表”、“拟投入本标段的主要施工机械表”、“拟配备本标段的主要材料试验、测量、质检仪器设备表”、“合同用款估算表”为必选项，但本次招标无需投标人填报上述必选项资料，因此，无论投标人是否填报(或如何填报), 上述必选项资料均不属于投标文件组成部分，不属于本次招标的评审范围。</w:t>
            </w:r>
          </w:p>
          <w:p w14:paraId="295A86FD">
            <w:pPr>
              <w:pStyle w:val="15"/>
              <w:spacing w:before="1" w:line="346" w:lineRule="auto"/>
              <w:ind w:left="111" w:leftChars="0" w:firstLine="389" w:firstLineChars="0"/>
              <w:rPr>
                <w:rFonts w:hint="eastAsia"/>
                <w:b w:val="0"/>
                <w:bCs w:val="0"/>
                <w:color w:val="auto"/>
                <w:spacing w:val="0"/>
                <w:sz w:val="24"/>
                <w:szCs w:val="24"/>
              </w:rPr>
            </w:pPr>
            <w:r>
              <w:rPr>
                <w:rFonts w:hint="eastAsia"/>
                <w:b w:val="0"/>
                <w:bCs w:val="0"/>
                <w:color w:val="auto"/>
                <w:spacing w:val="0"/>
                <w:sz w:val="24"/>
                <w:szCs w:val="24"/>
              </w:rPr>
              <w:t>3.7.9本次招标不要求投标人填报“已标价工程量清单”,但由于在电子交易平台系统中，投标文件格式中的“已标价工程量清单”为必选项且为系统固定格式，如不填写系统中的“已标价工程量清单”,则无法生成投标文件，因此，投标人需根据系统要求自行填报“已标价工程量清单”,投标人根据系统要求自行填报的“已标价工程量清单”不属于投标文件组成部分，不属于本次招标的评审范围。</w:t>
            </w:r>
          </w:p>
        </w:tc>
      </w:tr>
      <w:tr w14:paraId="2C11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center"/>
          </w:tcPr>
          <w:p w14:paraId="7C458E26">
            <w:pPr>
              <w:pStyle w:val="15"/>
              <w:spacing w:before="71" w:line="239" w:lineRule="auto"/>
              <w:ind w:left="304" w:leftChars="0"/>
              <w:jc w:val="center"/>
              <w:rPr>
                <w:color w:val="auto"/>
                <w:spacing w:val="-5"/>
                <w:sz w:val="24"/>
                <w:szCs w:val="24"/>
              </w:rPr>
            </w:pPr>
            <w:r>
              <w:rPr>
                <w:color w:val="auto"/>
                <w:spacing w:val="-4"/>
                <w:sz w:val="24"/>
                <w:szCs w:val="24"/>
              </w:rPr>
              <w:t>7.8</w:t>
            </w:r>
          </w:p>
        </w:tc>
        <w:tc>
          <w:tcPr>
            <w:tcW w:w="8338" w:type="dxa"/>
            <w:vAlign w:val="top"/>
          </w:tcPr>
          <w:p w14:paraId="2A48A5B2">
            <w:pPr>
              <w:pStyle w:val="15"/>
              <w:spacing w:before="141" w:line="221" w:lineRule="auto"/>
              <w:ind w:left="504"/>
              <w:rPr>
                <w:color w:val="auto"/>
                <w:sz w:val="24"/>
                <w:szCs w:val="24"/>
              </w:rPr>
            </w:pPr>
            <w:r>
              <w:rPr>
                <w:b/>
                <w:bCs/>
                <w:color w:val="auto"/>
                <w:spacing w:val="-1"/>
                <w:sz w:val="24"/>
                <w:szCs w:val="24"/>
              </w:rPr>
              <w:t>7.8签订合同</w:t>
            </w:r>
          </w:p>
          <w:p w14:paraId="60F56B5D">
            <w:pPr>
              <w:pStyle w:val="15"/>
              <w:spacing w:before="117" w:line="219" w:lineRule="auto"/>
              <w:ind w:left="520"/>
              <w:rPr>
                <w:color w:val="auto"/>
                <w:sz w:val="24"/>
                <w:szCs w:val="24"/>
              </w:rPr>
            </w:pPr>
            <w:r>
              <w:rPr>
                <w:color w:val="auto"/>
                <w:spacing w:val="2"/>
                <w:sz w:val="24"/>
                <w:szCs w:val="24"/>
              </w:rPr>
              <w:t>补充第7.8.5项：</w:t>
            </w:r>
          </w:p>
          <w:p w14:paraId="4C8A48B6">
            <w:pPr>
              <w:pStyle w:val="15"/>
              <w:spacing w:before="156" w:line="221" w:lineRule="auto"/>
              <w:ind w:left="524"/>
              <w:rPr>
                <w:color w:val="auto"/>
                <w:sz w:val="24"/>
                <w:szCs w:val="24"/>
              </w:rPr>
            </w:pPr>
            <w:r>
              <w:rPr>
                <w:b/>
                <w:bCs/>
                <w:color w:val="auto"/>
                <w:spacing w:val="-4"/>
                <w:sz w:val="24"/>
                <w:szCs w:val="24"/>
              </w:rPr>
              <w:t>7.8.5人员、设备履约要求</w:t>
            </w:r>
          </w:p>
          <w:p w14:paraId="5C4C5B02">
            <w:pPr>
              <w:pStyle w:val="15"/>
              <w:spacing w:before="139" w:line="329" w:lineRule="auto"/>
              <w:ind w:left="91" w:right="38" w:firstLine="449"/>
              <w:jc w:val="both"/>
              <w:rPr>
                <w:color w:val="auto"/>
                <w:spacing w:val="0"/>
                <w:sz w:val="24"/>
                <w:szCs w:val="24"/>
              </w:rPr>
            </w:pPr>
            <w:r>
              <w:rPr>
                <w:color w:val="auto"/>
                <w:spacing w:val="0"/>
                <w:sz w:val="24"/>
                <w:szCs w:val="24"/>
              </w:rPr>
              <w:t>中标人应在收到中标通知书后及时向招标人报送满足要求的其他管理人员、其他设备的详细资料【详见合同附件格式《附件四：其他管理和技术人员最低要求》《附件五：主要机械及试验测量设备最低要求》】,如中标人未按要求的时限报送，或报送的人员或机械设备不满足招标文件要求，招标人有权取消其中标资格。</w:t>
            </w:r>
          </w:p>
          <w:p w14:paraId="227B0A30">
            <w:pPr>
              <w:pStyle w:val="15"/>
              <w:spacing w:before="1" w:line="341" w:lineRule="auto"/>
              <w:ind w:left="101" w:right="40" w:firstLine="429"/>
              <w:jc w:val="both"/>
              <w:rPr>
                <w:color w:val="auto"/>
                <w:spacing w:val="0"/>
                <w:sz w:val="24"/>
                <w:szCs w:val="24"/>
              </w:rPr>
            </w:pPr>
            <w:r>
              <w:rPr>
                <w:color w:val="auto"/>
                <w:spacing w:val="0"/>
                <w:sz w:val="24"/>
                <w:szCs w:val="24"/>
              </w:rPr>
              <w:t>中标人进场时，如果所提供的人员、设备低于投标阶段以及中标后合同谈判阶段所承诺的人员或机械设备最低标准，即被认为未按合同文件规定履约，发包人将有权与中标人解除合同，另行安排其他单位进行施工。</w:t>
            </w:r>
          </w:p>
          <w:p w14:paraId="4C8AFA62">
            <w:pPr>
              <w:pStyle w:val="15"/>
              <w:spacing w:before="3" w:line="294" w:lineRule="auto"/>
              <w:ind w:left="111" w:leftChars="0" w:right="37" w:rightChars="0" w:firstLine="429" w:firstLineChars="0"/>
              <w:jc w:val="both"/>
              <w:rPr>
                <w:color w:val="auto"/>
                <w:spacing w:val="-9"/>
                <w:sz w:val="24"/>
                <w:szCs w:val="24"/>
              </w:rPr>
            </w:pPr>
            <w:r>
              <w:rPr>
                <w:color w:val="auto"/>
                <w:spacing w:val="0"/>
                <w:sz w:val="24"/>
                <w:szCs w:val="24"/>
              </w:rPr>
              <w:t>中标人应严格按照《辽宁省公路工程施工现场主要人员履约监督管理办法》(辽交公路规〔2025〕3号)的相关规定进行主要人员的现场履约，并接受发包人及交通运输主管部门的监督管理</w:t>
            </w:r>
            <w:r>
              <w:rPr>
                <w:color w:val="auto"/>
                <w:sz w:val="24"/>
                <w:szCs w:val="24"/>
              </w:rPr>
              <w:t>。</w:t>
            </w:r>
          </w:p>
        </w:tc>
      </w:tr>
      <w:tr w14:paraId="1239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71D95CE1">
            <w:pPr>
              <w:spacing w:line="272" w:lineRule="auto"/>
              <w:rPr>
                <w:rFonts w:ascii="Arial"/>
                <w:color w:val="auto"/>
                <w:sz w:val="21"/>
              </w:rPr>
            </w:pPr>
          </w:p>
          <w:p w14:paraId="139906F6">
            <w:pPr>
              <w:spacing w:line="272" w:lineRule="auto"/>
              <w:rPr>
                <w:rFonts w:ascii="Arial"/>
                <w:color w:val="auto"/>
                <w:sz w:val="21"/>
              </w:rPr>
            </w:pPr>
          </w:p>
          <w:p w14:paraId="4E1D1764">
            <w:pPr>
              <w:spacing w:line="273" w:lineRule="auto"/>
              <w:rPr>
                <w:rFonts w:ascii="Arial"/>
                <w:color w:val="auto"/>
                <w:sz w:val="21"/>
              </w:rPr>
            </w:pPr>
          </w:p>
          <w:p w14:paraId="2FE95898">
            <w:pPr>
              <w:spacing w:line="273" w:lineRule="auto"/>
              <w:rPr>
                <w:rFonts w:ascii="Arial"/>
                <w:color w:val="auto"/>
                <w:sz w:val="21"/>
              </w:rPr>
            </w:pPr>
          </w:p>
          <w:p w14:paraId="155802C3">
            <w:pPr>
              <w:spacing w:line="273" w:lineRule="auto"/>
              <w:rPr>
                <w:rFonts w:ascii="Arial"/>
                <w:color w:val="auto"/>
                <w:sz w:val="21"/>
              </w:rPr>
            </w:pPr>
          </w:p>
          <w:p w14:paraId="589F6D33">
            <w:pPr>
              <w:spacing w:line="273" w:lineRule="auto"/>
              <w:rPr>
                <w:rFonts w:ascii="Arial"/>
                <w:color w:val="auto"/>
                <w:sz w:val="21"/>
              </w:rPr>
            </w:pPr>
          </w:p>
          <w:p w14:paraId="5EE72A62">
            <w:pPr>
              <w:pStyle w:val="15"/>
              <w:spacing w:before="71" w:line="239" w:lineRule="auto"/>
              <w:ind w:left="304" w:leftChars="0"/>
              <w:rPr>
                <w:color w:val="auto"/>
                <w:spacing w:val="-4"/>
                <w:sz w:val="24"/>
                <w:szCs w:val="24"/>
              </w:rPr>
            </w:pPr>
            <w:r>
              <w:rPr>
                <w:color w:val="auto"/>
                <w:spacing w:val="-3"/>
              </w:rPr>
              <w:t>9.1</w:t>
            </w:r>
          </w:p>
        </w:tc>
        <w:tc>
          <w:tcPr>
            <w:tcW w:w="8338" w:type="dxa"/>
            <w:vAlign w:val="top"/>
          </w:tcPr>
          <w:p w14:paraId="5FAAA772">
            <w:pPr>
              <w:pStyle w:val="15"/>
              <w:keepNext w:val="0"/>
              <w:keepLines w:val="0"/>
              <w:pageBreakBefore w:val="0"/>
              <w:widowControl w:val="0"/>
              <w:kinsoku/>
              <w:wordWrap/>
              <w:overflowPunct/>
              <w:topLinePunct w:val="0"/>
              <w:autoSpaceDE/>
              <w:autoSpaceDN/>
              <w:bidi w:val="0"/>
              <w:adjustRightInd w:val="0"/>
              <w:snapToGrid/>
              <w:spacing w:line="312" w:lineRule="auto"/>
              <w:ind w:left="0" w:right="0"/>
              <w:textAlignment w:val="auto"/>
              <w:rPr>
                <w:color w:val="auto"/>
                <w:sz w:val="24"/>
                <w:szCs w:val="24"/>
              </w:rPr>
            </w:pPr>
            <w:r>
              <w:rPr>
                <w:b/>
                <w:bCs/>
                <w:color w:val="auto"/>
                <w:spacing w:val="-1"/>
                <w:sz w:val="24"/>
                <w:szCs w:val="24"/>
              </w:rPr>
              <w:t>补充第9.1款：</w:t>
            </w:r>
          </w:p>
          <w:p w14:paraId="3F49AA76">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09"/>
              <w:textAlignment w:val="auto"/>
              <w:rPr>
                <w:color w:val="auto"/>
                <w:sz w:val="24"/>
                <w:szCs w:val="24"/>
              </w:rPr>
            </w:pPr>
            <w:r>
              <w:rPr>
                <w:color w:val="auto"/>
                <w:spacing w:val="-7"/>
                <w:sz w:val="24"/>
                <w:szCs w:val="24"/>
              </w:rPr>
              <w:t>9.1.1投标文件“</w:t>
            </w:r>
            <w:r>
              <w:rPr>
                <w:b/>
                <w:bCs/>
                <w:color w:val="auto"/>
                <w:spacing w:val="-7"/>
                <w:sz w:val="24"/>
                <w:szCs w:val="24"/>
              </w:rPr>
              <w:t>施工组织设计”采用暗标形式</w:t>
            </w:r>
            <w:r>
              <w:rPr>
                <w:color w:val="auto"/>
                <w:spacing w:val="-7"/>
                <w:sz w:val="24"/>
                <w:szCs w:val="24"/>
              </w:rPr>
              <w:t>，必须按下列格式编制，否则视为未</w:t>
            </w:r>
            <w:r>
              <w:rPr>
                <w:color w:val="auto"/>
                <w:sz w:val="24"/>
                <w:szCs w:val="24"/>
              </w:rPr>
              <w:t>对招标文件作出实质性响应，按否决投标处理：</w:t>
            </w:r>
          </w:p>
          <w:p w14:paraId="2EB14926">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62" w:firstLineChars="200"/>
              <w:textAlignment w:val="auto"/>
              <w:rPr>
                <w:color w:val="auto"/>
                <w:sz w:val="24"/>
                <w:szCs w:val="24"/>
              </w:rPr>
            </w:pPr>
            <w:r>
              <w:rPr>
                <w:b/>
                <w:bCs/>
                <w:color w:val="auto"/>
                <w:spacing w:val="-5"/>
                <w:sz w:val="24"/>
                <w:szCs w:val="24"/>
                <w:u w:val="none" w:color="auto"/>
              </w:rPr>
              <w:t>(1)采用</w:t>
            </w:r>
            <w:r>
              <w:rPr>
                <w:b/>
                <w:bCs/>
                <w:color w:val="auto"/>
                <w:spacing w:val="-5"/>
                <w:sz w:val="24"/>
                <w:szCs w:val="24"/>
                <w:u w:val="single" w:color="auto"/>
              </w:rPr>
              <w:t>A4</w:t>
            </w:r>
            <w:r>
              <w:rPr>
                <w:b/>
                <w:bCs/>
                <w:color w:val="auto"/>
                <w:spacing w:val="-5"/>
                <w:sz w:val="24"/>
                <w:szCs w:val="24"/>
              </w:rPr>
              <w:t>纸张。页边距：</w:t>
            </w:r>
            <w:r>
              <w:rPr>
                <w:b/>
                <w:bCs/>
                <w:color w:val="auto"/>
                <w:spacing w:val="-5"/>
                <w:sz w:val="24"/>
                <w:szCs w:val="24"/>
                <w:u w:val="single" w:color="auto"/>
              </w:rPr>
              <w:t>左边距为3.17厘米、右边及上下边距为2.54厘米</w:t>
            </w:r>
            <w:r>
              <w:rPr>
                <w:b/>
                <w:bCs/>
                <w:color w:val="auto"/>
                <w:spacing w:val="-5"/>
                <w:sz w:val="24"/>
                <w:szCs w:val="24"/>
              </w:rPr>
              <w:t>。</w:t>
            </w:r>
          </w:p>
          <w:p w14:paraId="688E89EE">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70" w:firstLineChars="200"/>
              <w:textAlignment w:val="auto"/>
              <w:rPr>
                <w:b/>
                <w:bCs/>
                <w:color w:val="auto"/>
                <w:spacing w:val="-4"/>
                <w:sz w:val="24"/>
                <w:szCs w:val="24"/>
              </w:rPr>
            </w:pPr>
            <w:r>
              <w:rPr>
                <w:b/>
                <w:bCs/>
                <w:color w:val="auto"/>
                <w:spacing w:val="-3"/>
                <w:sz w:val="24"/>
                <w:szCs w:val="24"/>
              </w:rPr>
              <w:t>(2)除图纸、图表外所用文字采用</w:t>
            </w:r>
            <w:r>
              <w:rPr>
                <w:b/>
                <w:bCs/>
                <w:color w:val="auto"/>
                <w:spacing w:val="-3"/>
                <w:sz w:val="24"/>
                <w:szCs w:val="24"/>
                <w:u w:val="single" w:color="auto"/>
              </w:rPr>
              <w:t>黑色宋体四号(含标题)</w:t>
            </w:r>
            <w:r>
              <w:rPr>
                <w:b/>
                <w:bCs/>
                <w:color w:val="auto"/>
                <w:spacing w:val="-3"/>
                <w:sz w:val="24"/>
                <w:szCs w:val="24"/>
              </w:rPr>
              <w:t>,图纸、图表中所有</w:t>
            </w:r>
            <w:r>
              <w:rPr>
                <w:b/>
                <w:bCs/>
                <w:color w:val="auto"/>
                <w:spacing w:val="-8"/>
                <w:sz w:val="24"/>
                <w:szCs w:val="24"/>
              </w:rPr>
              <w:t>文字采用</w:t>
            </w:r>
            <w:r>
              <w:rPr>
                <w:b/>
                <w:bCs/>
                <w:color w:val="auto"/>
                <w:spacing w:val="-8"/>
                <w:sz w:val="24"/>
                <w:szCs w:val="24"/>
                <w:u w:val="single" w:color="auto"/>
              </w:rPr>
              <w:t>黑色宋体五号</w:t>
            </w:r>
            <w:r>
              <w:rPr>
                <w:b/>
                <w:bCs/>
                <w:color w:val="auto"/>
                <w:spacing w:val="-8"/>
                <w:sz w:val="24"/>
                <w:szCs w:val="24"/>
              </w:rPr>
              <w:t>；不得有任何加粗、斜体、下划线、边框、</w:t>
            </w:r>
            <w:r>
              <w:rPr>
                <w:b/>
                <w:bCs/>
                <w:color w:val="auto"/>
                <w:spacing w:val="-9"/>
                <w:sz w:val="24"/>
                <w:szCs w:val="24"/>
              </w:rPr>
              <w:t>底纹、阴影等标记</w:t>
            </w:r>
            <w:r>
              <w:rPr>
                <w:color w:val="auto"/>
                <w:spacing w:val="-9"/>
                <w:sz w:val="24"/>
                <w:szCs w:val="24"/>
              </w:rPr>
              <w:t>。</w:t>
            </w:r>
            <w:r>
              <w:rPr>
                <w:b/>
                <w:bCs/>
                <w:color w:val="auto"/>
                <w:spacing w:val="-3"/>
                <w:sz w:val="24"/>
                <w:szCs w:val="24"/>
              </w:rPr>
              <w:t>不得设置页码、页眉、页脚；段落设置：</w:t>
            </w:r>
            <w:r>
              <w:rPr>
                <w:b/>
                <w:bCs/>
                <w:color w:val="auto"/>
                <w:spacing w:val="-3"/>
                <w:sz w:val="24"/>
                <w:szCs w:val="24"/>
                <w:u w:val="single" w:color="auto"/>
              </w:rPr>
              <w:t>行距为固定值18磅</w:t>
            </w:r>
            <w:r>
              <w:rPr>
                <w:b/>
                <w:bCs/>
                <w:color w:val="auto"/>
                <w:spacing w:val="-3"/>
                <w:sz w:val="24"/>
                <w:szCs w:val="24"/>
              </w:rPr>
              <w:t>，段落设置中“如果定义</w:t>
            </w:r>
            <w:r>
              <w:rPr>
                <w:b/>
                <w:bCs/>
                <w:color w:val="auto"/>
                <w:spacing w:val="-12"/>
                <w:sz w:val="24"/>
                <w:szCs w:val="24"/>
              </w:rPr>
              <w:t>了文档网格，则自动调整右缩进”不打勾，“</w:t>
            </w:r>
            <w:r>
              <w:rPr>
                <w:b/>
                <w:bCs/>
                <w:color w:val="auto"/>
                <w:spacing w:val="-13"/>
                <w:sz w:val="24"/>
                <w:szCs w:val="24"/>
              </w:rPr>
              <w:t>如果定义了文档网格，则对齐到网格”要打</w:t>
            </w:r>
            <w:r>
              <w:rPr>
                <w:b/>
                <w:bCs/>
                <w:color w:val="auto"/>
                <w:spacing w:val="-4"/>
                <w:sz w:val="24"/>
                <w:szCs w:val="24"/>
              </w:rPr>
              <w:t>勾。</w:t>
            </w:r>
          </w:p>
          <w:p w14:paraId="41E4FE86">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66" w:firstLineChars="200"/>
              <w:textAlignment w:val="auto"/>
              <w:rPr>
                <w:b/>
                <w:bCs/>
                <w:color w:val="auto"/>
                <w:sz w:val="24"/>
                <w:szCs w:val="24"/>
              </w:rPr>
            </w:pPr>
            <w:r>
              <w:rPr>
                <w:b/>
                <w:bCs/>
                <w:color w:val="auto"/>
                <w:spacing w:val="-4"/>
                <w:sz w:val="24"/>
                <w:szCs w:val="24"/>
              </w:rPr>
              <w:t>(3)内容、文字均不得出现彩色文字与彩色图形，不得出现投标单位名称、相关人</w:t>
            </w:r>
            <w:r>
              <w:rPr>
                <w:b/>
                <w:bCs/>
                <w:color w:val="auto"/>
                <w:spacing w:val="-9"/>
                <w:sz w:val="24"/>
                <w:szCs w:val="24"/>
              </w:rPr>
              <w:t>员姓名等能体现有关投标单位信息的提示性标记、文字、语句</w:t>
            </w:r>
            <w:r>
              <w:rPr>
                <w:b/>
                <w:bCs/>
                <w:color w:val="auto"/>
                <w:spacing w:val="-10"/>
                <w:sz w:val="24"/>
                <w:szCs w:val="24"/>
              </w:rPr>
              <w:t>等，不得出现投标人或人员</w:t>
            </w:r>
            <w:r>
              <w:rPr>
                <w:b/>
                <w:bCs/>
                <w:color w:val="auto"/>
                <w:sz w:val="24"/>
                <w:szCs w:val="24"/>
              </w:rPr>
              <w:t>电子签章，不得出现其他不符合暗标要求的内容。</w:t>
            </w:r>
          </w:p>
          <w:p w14:paraId="18C185DD">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2" w:firstLineChars="200"/>
              <w:textAlignment w:val="auto"/>
              <w:rPr>
                <w:rFonts w:hint="default" w:eastAsia="宋体"/>
                <w:b/>
                <w:bCs/>
                <w:color w:val="auto"/>
                <w:sz w:val="24"/>
                <w:szCs w:val="24"/>
                <w:lang w:val="en-US" w:eastAsia="zh-CN"/>
              </w:rPr>
            </w:pPr>
            <w:r>
              <w:rPr>
                <w:rFonts w:hint="eastAsia"/>
                <w:b/>
                <w:bCs/>
                <w:color w:val="auto"/>
                <w:sz w:val="24"/>
                <w:szCs w:val="24"/>
                <w:lang w:eastAsia="zh-CN"/>
              </w:rPr>
              <w:t>（</w:t>
            </w:r>
            <w:r>
              <w:rPr>
                <w:rFonts w:hint="eastAsia"/>
                <w:b/>
                <w:bCs/>
                <w:color w:val="auto"/>
                <w:sz w:val="24"/>
                <w:szCs w:val="24"/>
                <w:lang w:val="en-US" w:eastAsia="zh-CN"/>
              </w:rPr>
              <w:t>4</w:t>
            </w:r>
            <w:r>
              <w:rPr>
                <w:rFonts w:hint="eastAsia"/>
                <w:b/>
                <w:bCs/>
                <w:color w:val="auto"/>
                <w:sz w:val="24"/>
                <w:szCs w:val="24"/>
                <w:lang w:eastAsia="zh-CN"/>
              </w:rPr>
              <w:t>）</w:t>
            </w:r>
            <w:r>
              <w:rPr>
                <w:rFonts w:hint="eastAsia"/>
                <w:b/>
                <w:bCs/>
                <w:color w:val="auto"/>
                <w:sz w:val="24"/>
                <w:szCs w:val="24"/>
              </w:rPr>
              <w:t>其他要求</w:t>
            </w:r>
            <w:r>
              <w:rPr>
                <w:rFonts w:hint="eastAsia"/>
                <w:b/>
                <w:bCs/>
                <w:color w:val="auto"/>
                <w:sz w:val="24"/>
                <w:szCs w:val="24"/>
                <w:u w:val="none"/>
              </w:rPr>
              <w:t>:</w:t>
            </w:r>
            <w:r>
              <w:rPr>
                <w:rFonts w:hint="eastAsia"/>
                <w:b/>
                <w:bCs/>
                <w:color w:val="auto"/>
                <w:sz w:val="24"/>
                <w:szCs w:val="24"/>
                <w:u w:val="none"/>
                <w:lang w:val="en-US" w:eastAsia="zh-CN"/>
              </w:rPr>
              <w:t xml:space="preserve"> </w:t>
            </w:r>
            <w:r>
              <w:rPr>
                <w:rFonts w:hint="eastAsia"/>
                <w:b/>
                <w:bCs/>
                <w:color w:val="auto"/>
                <w:sz w:val="24"/>
                <w:szCs w:val="24"/>
                <w:u w:val="single"/>
                <w:lang w:val="en-US" w:eastAsia="zh-CN"/>
              </w:rPr>
              <w:t xml:space="preserve">  / </w:t>
            </w:r>
          </w:p>
          <w:p w14:paraId="58E979B2">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color w:val="auto"/>
                <w:sz w:val="24"/>
                <w:szCs w:val="24"/>
              </w:rPr>
            </w:pPr>
            <w:r>
              <w:rPr>
                <w:color w:val="auto"/>
                <w:sz w:val="24"/>
                <w:szCs w:val="24"/>
              </w:rPr>
              <w:t>9.1.2投标文件“施工组织设计”内容包括：</w:t>
            </w:r>
          </w:p>
          <w:p w14:paraId="0DB7D1EC">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color w:val="auto"/>
                <w:sz w:val="24"/>
                <w:szCs w:val="24"/>
              </w:rPr>
            </w:pPr>
            <w:r>
              <w:rPr>
                <w:color w:val="auto"/>
                <w:sz w:val="24"/>
                <w:szCs w:val="24"/>
              </w:rPr>
              <w:t>(1)施工方案总体描述</w:t>
            </w:r>
          </w:p>
          <w:p w14:paraId="202124B8">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color w:val="auto"/>
                <w:sz w:val="24"/>
                <w:szCs w:val="24"/>
              </w:rPr>
            </w:pPr>
            <w:r>
              <w:rPr>
                <w:color w:val="auto"/>
                <w:sz w:val="24"/>
                <w:szCs w:val="24"/>
              </w:rPr>
              <w:t>(2)重难点理解</w:t>
            </w:r>
          </w:p>
          <w:p w14:paraId="76CC8870">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4" w:firstLineChars="200"/>
              <w:textAlignment w:val="auto"/>
              <w:rPr>
                <w:color w:val="auto"/>
                <w:spacing w:val="1"/>
                <w:sz w:val="24"/>
                <w:szCs w:val="24"/>
              </w:rPr>
            </w:pPr>
            <w:r>
              <w:rPr>
                <w:color w:val="auto"/>
                <w:spacing w:val="1"/>
                <w:sz w:val="24"/>
                <w:szCs w:val="24"/>
              </w:rPr>
              <w:t>(3)施工队伍及施工组织计划</w:t>
            </w:r>
          </w:p>
          <w:p w14:paraId="17E60E39">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4" w:firstLineChars="200"/>
              <w:textAlignment w:val="auto"/>
              <w:rPr>
                <w:color w:val="auto"/>
                <w:spacing w:val="1"/>
                <w:sz w:val="24"/>
                <w:szCs w:val="24"/>
              </w:rPr>
            </w:pPr>
            <w:r>
              <w:rPr>
                <w:color w:val="auto"/>
                <w:spacing w:val="1"/>
                <w:sz w:val="24"/>
                <w:szCs w:val="24"/>
              </w:rPr>
              <w:t>(4)安全生产措施</w:t>
            </w:r>
          </w:p>
          <w:p w14:paraId="4F6E5A52">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484" w:firstLineChars="200"/>
              <w:textAlignment w:val="auto"/>
              <w:rPr>
                <w:color w:val="auto"/>
                <w:sz w:val="24"/>
                <w:szCs w:val="24"/>
              </w:rPr>
            </w:pPr>
            <w:r>
              <w:rPr>
                <w:color w:val="auto"/>
                <w:spacing w:val="1"/>
                <w:sz w:val="24"/>
                <w:szCs w:val="24"/>
              </w:rPr>
              <w:t>(5)文明施工措施</w:t>
            </w:r>
          </w:p>
          <w:p w14:paraId="7470E667">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399"/>
              <w:jc w:val="both"/>
              <w:textAlignment w:val="auto"/>
              <w:rPr>
                <w:color w:val="auto"/>
                <w:spacing w:val="0"/>
                <w:sz w:val="24"/>
                <w:szCs w:val="24"/>
              </w:rPr>
            </w:pPr>
            <w:r>
              <w:rPr>
                <w:b/>
                <w:bCs/>
                <w:color w:val="auto"/>
                <w:spacing w:val="0"/>
                <w:sz w:val="24"/>
                <w:szCs w:val="24"/>
              </w:rPr>
              <w:t>“施工组织设计”由投标人结合以往类似项目经验并根据本项目特点及实际需求进行编制，其文字应精练、内容应具有针对性，“施工组织设计”总页数应控制在100页(含)以内，否则评标委员会将在相关评分因素的评分中酌情扣分</w:t>
            </w:r>
            <w:r>
              <w:rPr>
                <w:color w:val="auto"/>
                <w:spacing w:val="0"/>
                <w:sz w:val="24"/>
                <w:szCs w:val="24"/>
              </w:rPr>
              <w:t>。</w:t>
            </w:r>
          </w:p>
          <w:p w14:paraId="5EA16389">
            <w:pPr>
              <w:pStyle w:val="15"/>
              <w:keepNext w:val="0"/>
              <w:keepLines w:val="0"/>
              <w:pageBreakBefore w:val="0"/>
              <w:widowControl w:val="0"/>
              <w:kinsoku/>
              <w:wordWrap/>
              <w:overflowPunct/>
              <w:topLinePunct w:val="0"/>
              <w:autoSpaceDE/>
              <w:autoSpaceDN/>
              <w:bidi w:val="0"/>
              <w:adjustRightInd w:val="0"/>
              <w:snapToGrid/>
              <w:spacing w:line="360" w:lineRule="auto"/>
              <w:ind w:left="0" w:right="0" w:firstLine="399"/>
              <w:jc w:val="both"/>
              <w:textAlignment w:val="auto"/>
              <w:rPr>
                <w:color w:val="auto"/>
                <w:spacing w:val="-7"/>
                <w:sz w:val="24"/>
                <w:szCs w:val="24"/>
              </w:rPr>
            </w:pPr>
            <w:r>
              <w:rPr>
                <w:color w:val="auto"/>
                <w:sz w:val="24"/>
                <w:szCs w:val="24"/>
              </w:rPr>
              <w:t>9.1.3投标人应当(且仅允许)在电子投标文件第一个信封</w:t>
            </w:r>
            <w:r>
              <w:rPr>
                <w:color w:val="auto"/>
                <w:spacing w:val="-1"/>
                <w:sz w:val="24"/>
                <w:szCs w:val="24"/>
              </w:rPr>
              <w:t>(商务及技术文件)“施</w:t>
            </w:r>
            <w:r>
              <w:rPr>
                <w:color w:val="auto"/>
                <w:spacing w:val="-6"/>
                <w:sz w:val="24"/>
                <w:szCs w:val="24"/>
              </w:rPr>
              <w:t>工组织设计”下的各节点处上传“施工组织设计”相应子项内容。</w:t>
            </w:r>
            <w:r>
              <w:rPr>
                <w:b w:val="0"/>
                <w:bCs w:val="0"/>
                <w:color w:val="auto"/>
                <w:spacing w:val="-6"/>
                <w:sz w:val="24"/>
                <w:szCs w:val="24"/>
              </w:rPr>
              <w:t>子项内容的pdf文档名</w:t>
            </w:r>
            <w:r>
              <w:rPr>
                <w:b w:val="0"/>
                <w:bCs w:val="0"/>
                <w:color w:val="auto"/>
                <w:spacing w:val="-12"/>
                <w:sz w:val="24"/>
                <w:szCs w:val="24"/>
              </w:rPr>
              <w:t>称不得出现投标单位名称、相关人员姓名等</w:t>
            </w:r>
            <w:r>
              <w:rPr>
                <w:b w:val="0"/>
                <w:bCs w:val="0"/>
                <w:color w:val="auto"/>
                <w:spacing w:val="-13"/>
                <w:sz w:val="24"/>
                <w:szCs w:val="24"/>
              </w:rPr>
              <w:t>能体现有关投标单位信息的提示性文字，否则</w:t>
            </w:r>
            <w:r>
              <w:rPr>
                <w:b w:val="0"/>
                <w:bCs w:val="0"/>
                <w:color w:val="auto"/>
                <w:sz w:val="24"/>
                <w:szCs w:val="24"/>
              </w:rPr>
              <w:t>视为未对招标文件作出实质性响应，按否决投标处</w:t>
            </w:r>
            <w:r>
              <w:rPr>
                <w:b w:val="0"/>
                <w:bCs w:val="0"/>
                <w:color w:val="auto"/>
                <w:spacing w:val="-1"/>
                <w:sz w:val="24"/>
                <w:szCs w:val="24"/>
              </w:rPr>
              <w:t>理。</w:t>
            </w:r>
          </w:p>
        </w:tc>
      </w:tr>
      <w:tr w14:paraId="779F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3C9936EC">
            <w:pPr>
              <w:spacing w:line="279" w:lineRule="auto"/>
              <w:rPr>
                <w:rFonts w:ascii="宋体" w:hAnsi="宋体" w:eastAsia="宋体" w:cs="宋体"/>
                <w:b w:val="0"/>
                <w:bCs w:val="0"/>
                <w:color w:val="auto"/>
                <w:kern w:val="2"/>
                <w:sz w:val="24"/>
                <w:szCs w:val="24"/>
                <w:lang w:val="en-US" w:eastAsia="en-US" w:bidi="ar-SA"/>
              </w:rPr>
            </w:pPr>
          </w:p>
          <w:p w14:paraId="724D20FC">
            <w:pPr>
              <w:spacing w:line="280" w:lineRule="auto"/>
              <w:rPr>
                <w:rFonts w:ascii="宋体" w:hAnsi="宋体" w:eastAsia="宋体" w:cs="宋体"/>
                <w:b w:val="0"/>
                <w:bCs w:val="0"/>
                <w:color w:val="auto"/>
                <w:kern w:val="2"/>
                <w:sz w:val="24"/>
                <w:szCs w:val="24"/>
                <w:lang w:val="en-US" w:eastAsia="en-US" w:bidi="ar-SA"/>
              </w:rPr>
            </w:pPr>
          </w:p>
          <w:p w14:paraId="709DF0B4">
            <w:pPr>
              <w:spacing w:line="280" w:lineRule="auto"/>
              <w:rPr>
                <w:rFonts w:ascii="宋体" w:hAnsi="宋体" w:eastAsia="宋体" w:cs="宋体"/>
                <w:b w:val="0"/>
                <w:bCs w:val="0"/>
                <w:color w:val="auto"/>
                <w:kern w:val="2"/>
                <w:sz w:val="24"/>
                <w:szCs w:val="24"/>
                <w:lang w:val="en-US" w:eastAsia="en-US" w:bidi="ar-SA"/>
              </w:rPr>
            </w:pPr>
          </w:p>
          <w:p w14:paraId="190BBBC3">
            <w:pPr>
              <w:pStyle w:val="15"/>
              <w:spacing w:before="71" w:line="239" w:lineRule="auto"/>
              <w:ind w:left="304" w:leftChars="0"/>
              <w:rPr>
                <w:rFonts w:ascii="宋体" w:hAnsi="宋体" w:eastAsia="宋体" w:cs="宋体"/>
                <w:b w:val="0"/>
                <w:bCs w:val="0"/>
                <w:color w:val="auto"/>
                <w:kern w:val="2"/>
                <w:sz w:val="24"/>
                <w:szCs w:val="24"/>
                <w:lang w:val="en-US" w:eastAsia="en-US" w:bidi="ar-SA"/>
              </w:rPr>
            </w:pPr>
            <w:r>
              <w:rPr>
                <w:rFonts w:ascii="宋体" w:hAnsi="宋体" w:eastAsia="宋体" w:cs="宋体"/>
                <w:b w:val="0"/>
                <w:bCs w:val="0"/>
                <w:color w:val="auto"/>
                <w:kern w:val="2"/>
                <w:sz w:val="24"/>
                <w:szCs w:val="24"/>
                <w:lang w:val="en-US" w:eastAsia="en-US" w:bidi="ar-SA"/>
              </w:rPr>
              <w:t>9.2</w:t>
            </w:r>
          </w:p>
        </w:tc>
        <w:tc>
          <w:tcPr>
            <w:tcW w:w="8338" w:type="dxa"/>
            <w:vAlign w:val="top"/>
          </w:tcPr>
          <w:p w14:paraId="60206CB4">
            <w:pPr>
              <w:pStyle w:val="15"/>
              <w:spacing w:before="141" w:line="219" w:lineRule="auto"/>
              <w:ind w:left="524"/>
              <w:rPr>
                <w:rFonts w:ascii="宋体" w:hAnsi="宋体" w:eastAsia="宋体" w:cs="宋体"/>
                <w:b w:val="0"/>
                <w:bCs w:val="0"/>
                <w:color w:val="auto"/>
                <w:kern w:val="2"/>
                <w:sz w:val="24"/>
                <w:szCs w:val="24"/>
                <w:lang w:val="en-US" w:eastAsia="en-US" w:bidi="ar-SA"/>
              </w:rPr>
            </w:pPr>
            <w:r>
              <w:rPr>
                <w:rFonts w:ascii="宋体" w:hAnsi="宋体" w:eastAsia="宋体" w:cs="宋体"/>
                <w:b w:val="0"/>
                <w:bCs w:val="0"/>
                <w:color w:val="auto"/>
                <w:kern w:val="2"/>
                <w:sz w:val="24"/>
                <w:szCs w:val="24"/>
                <w:lang w:val="en-US" w:eastAsia="en-US" w:bidi="ar-SA"/>
              </w:rPr>
              <w:t>补充第9.2款：</w:t>
            </w:r>
          </w:p>
          <w:p w14:paraId="54602D9B">
            <w:pPr>
              <w:pStyle w:val="15"/>
              <w:spacing w:before="117" w:line="350" w:lineRule="auto"/>
              <w:ind w:left="124" w:right="26" w:firstLine="389"/>
              <w:rPr>
                <w:rFonts w:ascii="宋体" w:hAnsi="宋体" w:eastAsia="宋体" w:cs="宋体"/>
                <w:b w:val="0"/>
                <w:bCs w:val="0"/>
                <w:color w:val="auto"/>
                <w:kern w:val="2"/>
                <w:sz w:val="24"/>
                <w:szCs w:val="24"/>
                <w:lang w:val="en-US" w:eastAsia="en-US" w:bidi="ar-SA"/>
              </w:rPr>
            </w:pPr>
            <w:r>
              <w:rPr>
                <w:rFonts w:ascii="宋体" w:hAnsi="宋体" w:eastAsia="宋体" w:cs="宋体"/>
                <w:b w:val="0"/>
                <w:bCs w:val="0"/>
                <w:color w:val="auto"/>
                <w:kern w:val="2"/>
                <w:sz w:val="24"/>
                <w:szCs w:val="24"/>
                <w:lang w:val="en-US" w:eastAsia="en-US" w:bidi="ar-SA"/>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14:paraId="47AF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415B37CD">
            <w:pPr>
              <w:spacing w:line="287" w:lineRule="auto"/>
              <w:rPr>
                <w:rFonts w:ascii="Arial"/>
                <w:color w:val="auto"/>
                <w:sz w:val="24"/>
                <w:szCs w:val="24"/>
              </w:rPr>
            </w:pPr>
          </w:p>
          <w:p w14:paraId="0191AE9E">
            <w:pPr>
              <w:spacing w:line="287" w:lineRule="auto"/>
              <w:rPr>
                <w:rFonts w:ascii="Arial"/>
                <w:color w:val="auto"/>
                <w:sz w:val="24"/>
                <w:szCs w:val="24"/>
              </w:rPr>
            </w:pPr>
          </w:p>
          <w:p w14:paraId="7E434948">
            <w:pPr>
              <w:spacing w:line="287" w:lineRule="auto"/>
              <w:rPr>
                <w:rFonts w:ascii="Arial"/>
                <w:color w:val="auto"/>
                <w:sz w:val="24"/>
                <w:szCs w:val="24"/>
              </w:rPr>
            </w:pPr>
          </w:p>
          <w:p w14:paraId="721C49BB">
            <w:pPr>
              <w:spacing w:line="288" w:lineRule="auto"/>
              <w:rPr>
                <w:rFonts w:ascii="Arial"/>
                <w:color w:val="auto"/>
                <w:sz w:val="24"/>
                <w:szCs w:val="24"/>
              </w:rPr>
            </w:pPr>
          </w:p>
          <w:p w14:paraId="15F0CF04">
            <w:pPr>
              <w:spacing w:line="288" w:lineRule="auto"/>
              <w:rPr>
                <w:rFonts w:ascii="Arial"/>
                <w:color w:val="auto"/>
                <w:sz w:val="24"/>
                <w:szCs w:val="24"/>
              </w:rPr>
            </w:pPr>
          </w:p>
          <w:p w14:paraId="6CB601E9">
            <w:pPr>
              <w:pStyle w:val="15"/>
              <w:spacing w:before="71" w:line="239" w:lineRule="auto"/>
              <w:ind w:left="304" w:leftChars="0"/>
              <w:rPr>
                <w:color w:val="auto"/>
                <w:spacing w:val="-4"/>
                <w:sz w:val="24"/>
                <w:szCs w:val="24"/>
              </w:rPr>
            </w:pPr>
            <w:r>
              <w:rPr>
                <w:color w:val="auto"/>
                <w:spacing w:val="-3"/>
                <w:sz w:val="24"/>
                <w:szCs w:val="24"/>
              </w:rPr>
              <w:t>9.3</w:t>
            </w:r>
          </w:p>
        </w:tc>
        <w:tc>
          <w:tcPr>
            <w:tcW w:w="8338" w:type="dxa"/>
            <w:vAlign w:val="top"/>
          </w:tcPr>
          <w:p w14:paraId="200F9531">
            <w:pPr>
              <w:pStyle w:val="15"/>
              <w:keepNext w:val="0"/>
              <w:keepLines w:val="0"/>
              <w:pageBreakBefore w:val="0"/>
              <w:widowControl w:val="0"/>
              <w:kinsoku/>
              <w:wordWrap/>
              <w:overflowPunct/>
              <w:topLinePunct w:val="0"/>
              <w:autoSpaceDE/>
              <w:autoSpaceDN/>
              <w:bidi w:val="0"/>
              <w:adjustRightInd/>
              <w:snapToGrid/>
              <w:spacing w:line="360" w:lineRule="auto"/>
              <w:ind w:left="91"/>
              <w:textAlignment w:val="auto"/>
              <w:rPr>
                <w:color w:val="auto"/>
                <w:sz w:val="24"/>
                <w:szCs w:val="24"/>
              </w:rPr>
            </w:pPr>
            <w:r>
              <w:rPr>
                <w:color w:val="auto"/>
                <w:spacing w:val="2"/>
                <w:sz w:val="24"/>
                <w:szCs w:val="24"/>
              </w:rPr>
              <w:t>补充第9.3款：</w:t>
            </w:r>
          </w:p>
          <w:p w14:paraId="07FF7A8E">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z w:val="24"/>
                <w:szCs w:val="24"/>
              </w:rPr>
              <w:t>任一标段存在下列情形之一的，招标人将对对应标段重新招标：</w:t>
            </w:r>
          </w:p>
          <w:p w14:paraId="0239322C">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pacing w:val="5"/>
                <w:sz w:val="24"/>
                <w:szCs w:val="24"/>
              </w:rPr>
              <w:t>(1)获取招标文件的潜在投标人少于3个的；</w:t>
            </w:r>
          </w:p>
          <w:p w14:paraId="393A3CC2">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pacing w:val="4"/>
                <w:sz w:val="24"/>
                <w:szCs w:val="24"/>
              </w:rPr>
              <w:t>(2)投标截止时间止，递交投标文件的投标人少于3个的；</w:t>
            </w:r>
          </w:p>
          <w:p w14:paraId="0DEF5DD5">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pacing w:val="5"/>
                <w:sz w:val="24"/>
                <w:szCs w:val="24"/>
              </w:rPr>
              <w:t>(3)经评标委员会评审后否决所有投标的；</w:t>
            </w:r>
          </w:p>
          <w:p w14:paraId="3540268E">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pacing w:val="5"/>
                <w:sz w:val="24"/>
                <w:szCs w:val="24"/>
              </w:rPr>
              <w:t>(4)经评标委员会评审后未推荐中标候选人</w:t>
            </w:r>
            <w:r>
              <w:rPr>
                <w:color w:val="auto"/>
                <w:spacing w:val="4"/>
                <w:sz w:val="24"/>
                <w:szCs w:val="24"/>
              </w:rPr>
              <w:t>的；</w:t>
            </w:r>
          </w:p>
          <w:p w14:paraId="5A9CDEFB">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z w:val="24"/>
                <w:szCs w:val="24"/>
              </w:rPr>
            </w:pPr>
            <w:r>
              <w:rPr>
                <w:color w:val="auto"/>
                <w:spacing w:val="5"/>
                <w:sz w:val="24"/>
                <w:szCs w:val="24"/>
              </w:rPr>
              <w:t>(5)中标候选人均未与招标人签订合同的；</w:t>
            </w:r>
          </w:p>
          <w:p w14:paraId="3569341F">
            <w:pPr>
              <w:pStyle w:val="15"/>
              <w:keepNext w:val="0"/>
              <w:keepLines w:val="0"/>
              <w:pageBreakBefore w:val="0"/>
              <w:widowControl w:val="0"/>
              <w:kinsoku/>
              <w:wordWrap/>
              <w:overflowPunct/>
              <w:topLinePunct w:val="0"/>
              <w:autoSpaceDE/>
              <w:autoSpaceDN/>
              <w:bidi w:val="0"/>
              <w:adjustRightInd/>
              <w:snapToGrid/>
              <w:spacing w:line="360" w:lineRule="auto"/>
              <w:ind w:left="521" w:leftChars="0"/>
              <w:textAlignment w:val="auto"/>
              <w:rPr>
                <w:color w:val="auto"/>
                <w:spacing w:val="-7"/>
                <w:sz w:val="24"/>
                <w:szCs w:val="24"/>
              </w:rPr>
            </w:pPr>
            <w:r>
              <w:rPr>
                <w:color w:val="auto"/>
                <w:spacing w:val="-1"/>
                <w:sz w:val="24"/>
                <w:szCs w:val="24"/>
              </w:rPr>
              <w:t>(6)法律规定的其他情形。</w:t>
            </w:r>
          </w:p>
        </w:tc>
      </w:tr>
      <w:tr w14:paraId="463DB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546F57AE">
            <w:pPr>
              <w:spacing w:line="327" w:lineRule="auto"/>
              <w:rPr>
                <w:rFonts w:ascii="Arial"/>
                <w:color w:val="auto"/>
                <w:sz w:val="21"/>
              </w:rPr>
            </w:pPr>
          </w:p>
          <w:p w14:paraId="53E65E9C">
            <w:pPr>
              <w:pStyle w:val="15"/>
              <w:spacing w:before="71" w:line="239" w:lineRule="auto"/>
              <w:ind w:left="304" w:leftChars="0"/>
              <w:rPr>
                <w:color w:val="auto"/>
                <w:spacing w:val="-4"/>
                <w:sz w:val="24"/>
                <w:szCs w:val="24"/>
              </w:rPr>
            </w:pPr>
            <w:r>
              <w:rPr>
                <w:color w:val="auto"/>
                <w:spacing w:val="-3"/>
              </w:rPr>
              <w:t>9.4</w:t>
            </w:r>
          </w:p>
        </w:tc>
        <w:tc>
          <w:tcPr>
            <w:tcW w:w="8338" w:type="dxa"/>
            <w:vAlign w:val="top"/>
          </w:tcPr>
          <w:p w14:paraId="64D1EAF0">
            <w:pPr>
              <w:pStyle w:val="15"/>
              <w:keepNext w:val="0"/>
              <w:keepLines w:val="0"/>
              <w:pageBreakBefore w:val="0"/>
              <w:widowControl w:val="0"/>
              <w:kinsoku/>
              <w:wordWrap/>
              <w:overflowPunct/>
              <w:topLinePunct w:val="0"/>
              <w:autoSpaceDE/>
              <w:autoSpaceDN/>
              <w:bidi w:val="0"/>
              <w:adjustRightInd/>
              <w:snapToGrid/>
              <w:spacing w:line="360" w:lineRule="auto"/>
              <w:ind w:left="521"/>
              <w:textAlignment w:val="auto"/>
              <w:rPr>
                <w:color w:val="auto"/>
                <w:spacing w:val="5"/>
                <w:sz w:val="24"/>
                <w:szCs w:val="24"/>
              </w:rPr>
            </w:pPr>
            <w:r>
              <w:rPr>
                <w:color w:val="auto"/>
                <w:spacing w:val="5"/>
                <w:sz w:val="24"/>
                <w:szCs w:val="24"/>
              </w:rPr>
              <w:t>补充第9.4款：</w:t>
            </w:r>
          </w:p>
          <w:p w14:paraId="0B8E0732">
            <w:pPr>
              <w:pStyle w:val="15"/>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color w:val="auto"/>
                <w:spacing w:val="5"/>
                <w:sz w:val="24"/>
                <w:szCs w:val="24"/>
              </w:rPr>
            </w:pPr>
            <w:r>
              <w:rPr>
                <w:color w:val="auto"/>
                <w:spacing w:val="5"/>
                <w:sz w:val="24"/>
                <w:szCs w:val="24"/>
              </w:rPr>
              <w:t>构成本招标文件各个组成部分的文件，未经招标人书面同意，投标人不得擅自复印和</w:t>
            </w:r>
            <w:r>
              <w:rPr>
                <w:rFonts w:hint="eastAsia"/>
                <w:color w:val="auto"/>
                <w:spacing w:val="5"/>
                <w:sz w:val="24"/>
                <w:szCs w:val="24"/>
              </w:rPr>
              <w:t>用于非本招标项目所需的其他目的。</w:t>
            </w:r>
          </w:p>
        </w:tc>
      </w:tr>
      <w:tr w14:paraId="4EB6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2E8C9634">
            <w:pPr>
              <w:spacing w:line="282" w:lineRule="auto"/>
              <w:rPr>
                <w:rFonts w:ascii="宋体" w:hAnsi="宋体" w:eastAsia="宋体" w:cs="宋体"/>
                <w:color w:val="auto"/>
                <w:spacing w:val="5"/>
                <w:kern w:val="2"/>
                <w:sz w:val="24"/>
                <w:szCs w:val="24"/>
                <w:lang w:val="en-US" w:eastAsia="en-US" w:bidi="ar-SA"/>
              </w:rPr>
            </w:pPr>
          </w:p>
          <w:p w14:paraId="1D2BDEDC">
            <w:pPr>
              <w:spacing w:line="282" w:lineRule="auto"/>
              <w:rPr>
                <w:rFonts w:ascii="宋体" w:hAnsi="宋体" w:eastAsia="宋体" w:cs="宋体"/>
                <w:color w:val="auto"/>
                <w:spacing w:val="5"/>
                <w:kern w:val="2"/>
                <w:sz w:val="24"/>
                <w:szCs w:val="24"/>
                <w:lang w:val="en-US" w:eastAsia="en-US" w:bidi="ar-SA"/>
              </w:rPr>
            </w:pPr>
          </w:p>
          <w:p w14:paraId="6554858B">
            <w:pPr>
              <w:spacing w:line="282" w:lineRule="auto"/>
              <w:rPr>
                <w:rFonts w:ascii="宋体" w:hAnsi="宋体" w:eastAsia="宋体" w:cs="宋体"/>
                <w:color w:val="auto"/>
                <w:spacing w:val="5"/>
                <w:kern w:val="2"/>
                <w:sz w:val="24"/>
                <w:szCs w:val="24"/>
                <w:lang w:val="en-US" w:eastAsia="en-US" w:bidi="ar-SA"/>
              </w:rPr>
            </w:pPr>
          </w:p>
          <w:p w14:paraId="628947AC">
            <w:pPr>
              <w:pStyle w:val="15"/>
              <w:spacing w:before="71" w:line="239" w:lineRule="auto"/>
              <w:ind w:left="304" w:leftChars="0"/>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9.5</w:t>
            </w:r>
          </w:p>
        </w:tc>
        <w:tc>
          <w:tcPr>
            <w:tcW w:w="8338" w:type="dxa"/>
            <w:vAlign w:val="top"/>
          </w:tcPr>
          <w:p w14:paraId="58B918AB">
            <w:pPr>
              <w:pStyle w:val="15"/>
              <w:spacing w:before="131" w:line="219" w:lineRule="auto"/>
              <w:ind w:left="91"/>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补充第9.5款：</w:t>
            </w:r>
          </w:p>
          <w:p w14:paraId="45AC87C2">
            <w:pPr>
              <w:pStyle w:val="15"/>
              <w:spacing w:before="146" w:line="306" w:lineRule="auto"/>
              <w:ind w:left="31" w:leftChars="0" w:firstLine="499" w:firstLineChars="0"/>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构成招标文件组成部分的第二章、第四章</w:t>
            </w:r>
            <w:r>
              <w:rPr>
                <w:rFonts w:hint="eastAsia" w:ascii="宋体" w:hAnsi="宋体" w:eastAsia="宋体" w:cs="宋体"/>
                <w:color w:val="auto"/>
                <w:spacing w:val="5"/>
                <w:kern w:val="2"/>
                <w:sz w:val="24"/>
                <w:szCs w:val="24"/>
                <w:lang w:val="en-US" w:eastAsia="en-US" w:bidi="ar-SA"/>
              </w:rPr>
              <w:t>～</w:t>
            </w:r>
            <w:r>
              <w:rPr>
                <w:rFonts w:ascii="宋体" w:hAnsi="宋体" w:eastAsia="宋体" w:cs="宋体"/>
                <w:color w:val="auto"/>
                <w:spacing w:val="5"/>
                <w:kern w:val="2"/>
                <w:sz w:val="24"/>
                <w:szCs w:val="24"/>
                <w:lang w:val="en-US" w:eastAsia="en-US" w:bidi="ar-SA"/>
              </w:rPr>
              <w:t>第八章中出现的措辞“发包人”和“承包人”,在招标投标阶段应当分别按“招标人”和“投标人(或中标人)”进行理解；构成招标文件组成部分的第二章中出现的措辞“招标人”和“投标人(或中标人)”,且与合同文件相关的条款，在合同履约阶段应当分别按“发包人”和“承包人”进行理解。</w:t>
            </w:r>
          </w:p>
        </w:tc>
      </w:tr>
      <w:tr w14:paraId="0163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34" w:type="dxa"/>
            <w:vAlign w:val="top"/>
          </w:tcPr>
          <w:p w14:paraId="3DE6838A">
            <w:pPr>
              <w:spacing w:line="247" w:lineRule="auto"/>
              <w:rPr>
                <w:rFonts w:ascii="宋体" w:hAnsi="宋体" w:eastAsia="宋体" w:cs="宋体"/>
                <w:color w:val="auto"/>
                <w:spacing w:val="5"/>
                <w:kern w:val="2"/>
                <w:sz w:val="24"/>
                <w:szCs w:val="24"/>
                <w:lang w:val="en-US" w:eastAsia="en-US" w:bidi="ar-SA"/>
              </w:rPr>
            </w:pPr>
          </w:p>
          <w:p w14:paraId="11E67EC8">
            <w:pPr>
              <w:spacing w:line="247" w:lineRule="auto"/>
              <w:rPr>
                <w:rFonts w:ascii="宋体" w:hAnsi="宋体" w:eastAsia="宋体" w:cs="宋体"/>
                <w:color w:val="auto"/>
                <w:spacing w:val="5"/>
                <w:kern w:val="2"/>
                <w:sz w:val="24"/>
                <w:szCs w:val="24"/>
                <w:lang w:val="en-US" w:eastAsia="en-US" w:bidi="ar-SA"/>
              </w:rPr>
            </w:pPr>
          </w:p>
          <w:p w14:paraId="0CAD9CD7">
            <w:pPr>
              <w:spacing w:line="247" w:lineRule="auto"/>
              <w:rPr>
                <w:rFonts w:ascii="宋体" w:hAnsi="宋体" w:eastAsia="宋体" w:cs="宋体"/>
                <w:color w:val="auto"/>
                <w:spacing w:val="5"/>
                <w:kern w:val="2"/>
                <w:sz w:val="24"/>
                <w:szCs w:val="24"/>
                <w:lang w:val="en-US" w:eastAsia="en-US" w:bidi="ar-SA"/>
              </w:rPr>
            </w:pPr>
          </w:p>
          <w:p w14:paraId="60F03F84">
            <w:pPr>
              <w:spacing w:line="247" w:lineRule="auto"/>
              <w:rPr>
                <w:rFonts w:ascii="宋体" w:hAnsi="宋体" w:eastAsia="宋体" w:cs="宋体"/>
                <w:color w:val="auto"/>
                <w:spacing w:val="5"/>
                <w:kern w:val="2"/>
                <w:sz w:val="24"/>
                <w:szCs w:val="24"/>
                <w:lang w:val="en-US" w:eastAsia="en-US" w:bidi="ar-SA"/>
              </w:rPr>
            </w:pPr>
          </w:p>
          <w:p w14:paraId="31FA3B3E">
            <w:pPr>
              <w:spacing w:line="248" w:lineRule="auto"/>
              <w:rPr>
                <w:rFonts w:ascii="宋体" w:hAnsi="宋体" w:eastAsia="宋体" w:cs="宋体"/>
                <w:color w:val="auto"/>
                <w:spacing w:val="5"/>
                <w:kern w:val="2"/>
                <w:sz w:val="24"/>
                <w:szCs w:val="24"/>
                <w:lang w:val="en-US" w:eastAsia="en-US" w:bidi="ar-SA"/>
              </w:rPr>
            </w:pPr>
          </w:p>
          <w:p w14:paraId="4C4EF4C9">
            <w:pPr>
              <w:pStyle w:val="15"/>
              <w:spacing w:before="72" w:line="239" w:lineRule="auto"/>
              <w:ind w:left="304" w:leftChars="0"/>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9.6</w:t>
            </w:r>
          </w:p>
        </w:tc>
        <w:tc>
          <w:tcPr>
            <w:tcW w:w="8338" w:type="dxa"/>
            <w:vAlign w:val="top"/>
          </w:tcPr>
          <w:p w14:paraId="6AFC1624">
            <w:pPr>
              <w:pStyle w:val="15"/>
              <w:spacing w:before="144" w:line="219" w:lineRule="auto"/>
              <w:ind w:left="91"/>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补充第9.6款：</w:t>
            </w:r>
          </w:p>
          <w:p w14:paraId="6B4505A8">
            <w:pPr>
              <w:pStyle w:val="15"/>
              <w:spacing w:before="108" w:line="317" w:lineRule="auto"/>
              <w:ind w:left="91" w:leftChars="0" w:firstLine="414" w:firstLineChars="0"/>
              <w:jc w:val="both"/>
              <w:rPr>
                <w:rFonts w:ascii="宋体" w:hAnsi="宋体" w:eastAsia="宋体" w:cs="宋体"/>
                <w:color w:val="auto"/>
                <w:spacing w:val="5"/>
                <w:kern w:val="2"/>
                <w:sz w:val="24"/>
                <w:szCs w:val="24"/>
                <w:lang w:val="en-US" w:eastAsia="en-US" w:bidi="ar-SA"/>
              </w:rPr>
            </w:pPr>
            <w:r>
              <w:rPr>
                <w:rFonts w:ascii="宋体" w:hAnsi="宋体" w:eastAsia="宋体" w:cs="宋体"/>
                <w:color w:val="auto"/>
                <w:spacing w:val="5"/>
                <w:kern w:val="2"/>
                <w:sz w:val="24"/>
                <w:szCs w:val="24"/>
                <w:lang w:val="en-US" w:eastAsia="en-US" w:bidi="ar-SA"/>
              </w:rPr>
              <w:t>构成本招标文件的各个组成文件应互为解释，互为说明；如有不明确或不一致，构成合同文件组成内容的，以合同文件约定内容为准，且以合同协议书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3AFB77DC">
      <w:pPr>
        <w:rPr>
          <w:rFonts w:hint="default" w:ascii="Times New Roman" w:hAnsi="Times New Roman" w:eastAsia="黑体" w:cs="Times New Roman"/>
          <w:color w:val="auto"/>
          <w:sz w:val="28"/>
          <w:szCs w:val="28"/>
          <w:highlight w:val="none"/>
        </w:rPr>
      </w:pPr>
    </w:p>
    <w:p w14:paraId="3080755C">
      <w:pPr>
        <w:rPr>
          <w:rFonts w:hint="default" w:ascii="Times New Roman" w:hAnsi="Times New Roman" w:eastAsia="黑体" w:cs="Times New Roman"/>
          <w:color w:val="auto"/>
          <w:sz w:val="28"/>
          <w:szCs w:val="28"/>
          <w:highlight w:val="none"/>
        </w:rPr>
      </w:pPr>
    </w:p>
    <w:p w14:paraId="229A1171">
      <w:pPr>
        <w:rPr>
          <w:rFonts w:hint="default" w:ascii="Times New Roman" w:hAnsi="Times New Roman" w:eastAsia="黑体" w:cs="Times New Roman"/>
          <w:color w:val="auto"/>
          <w:sz w:val="28"/>
          <w:szCs w:val="28"/>
          <w:highlight w:val="none"/>
        </w:rPr>
      </w:pPr>
    </w:p>
    <w:p w14:paraId="3ED61B40">
      <w:pPr>
        <w:rPr>
          <w:rFonts w:hint="default" w:ascii="Times New Roman" w:hAnsi="Times New Roman" w:eastAsia="黑体" w:cs="Times New Roman"/>
          <w:color w:val="auto"/>
          <w:sz w:val="28"/>
          <w:szCs w:val="28"/>
          <w:highlight w:val="none"/>
        </w:rPr>
      </w:pPr>
    </w:p>
    <w:p w14:paraId="1C7C586F">
      <w:pPr>
        <w:rPr>
          <w:rFonts w:hint="default" w:ascii="Times New Roman" w:hAnsi="Times New Roman" w:eastAsia="黑体" w:cs="Times New Roman"/>
          <w:color w:val="auto"/>
          <w:sz w:val="28"/>
          <w:szCs w:val="28"/>
          <w:highlight w:val="none"/>
        </w:rPr>
      </w:pPr>
    </w:p>
    <w:p w14:paraId="17DC0EB7">
      <w:pPr>
        <w:rPr>
          <w:rFonts w:hint="default" w:ascii="Times New Roman" w:hAnsi="Times New Roman" w:eastAsia="黑体" w:cs="Times New Roman"/>
          <w:color w:val="auto"/>
          <w:sz w:val="28"/>
          <w:szCs w:val="28"/>
          <w:highlight w:val="none"/>
        </w:rPr>
      </w:pPr>
    </w:p>
    <w:p w14:paraId="3F20C82C">
      <w:pPr>
        <w:rPr>
          <w:rFonts w:hint="default" w:ascii="Times New Roman" w:hAnsi="Times New Roman" w:eastAsia="黑体" w:cs="Times New Roman"/>
          <w:color w:val="auto"/>
          <w:sz w:val="28"/>
          <w:szCs w:val="28"/>
          <w:highlight w:val="none"/>
        </w:rPr>
      </w:pPr>
    </w:p>
    <w:p w14:paraId="4820CC27">
      <w:pPr>
        <w:rPr>
          <w:rFonts w:hint="default" w:ascii="Times New Roman" w:hAnsi="Times New Roman" w:eastAsia="黑体" w:cs="Times New Roman"/>
          <w:color w:val="auto"/>
          <w:sz w:val="28"/>
          <w:szCs w:val="28"/>
          <w:highlight w:val="none"/>
        </w:rPr>
      </w:pPr>
    </w:p>
    <w:p w14:paraId="089212FD">
      <w:pPr>
        <w:rPr>
          <w:rFonts w:hint="default" w:ascii="Times New Roman" w:hAnsi="Times New Roman" w:eastAsia="黑体" w:cs="Times New Roman"/>
          <w:color w:val="auto"/>
          <w:sz w:val="28"/>
          <w:szCs w:val="28"/>
          <w:highlight w:val="none"/>
        </w:rPr>
      </w:pPr>
    </w:p>
    <w:p w14:paraId="467943EF">
      <w:pPr>
        <w:rPr>
          <w:rFonts w:hint="default" w:ascii="Times New Roman" w:hAnsi="Times New Roman" w:eastAsia="黑体" w:cs="Times New Roman"/>
          <w:color w:val="auto"/>
          <w:sz w:val="28"/>
          <w:szCs w:val="28"/>
          <w:highlight w:val="none"/>
        </w:rPr>
      </w:pPr>
    </w:p>
    <w:p w14:paraId="31CCC5F9">
      <w:pPr>
        <w:rPr>
          <w:rFonts w:hint="default" w:ascii="Times New Roman" w:hAnsi="Times New Roman" w:eastAsia="黑体" w:cs="Times New Roman"/>
          <w:color w:val="auto"/>
          <w:sz w:val="28"/>
          <w:szCs w:val="28"/>
          <w:highlight w:val="none"/>
        </w:rPr>
      </w:pPr>
    </w:p>
    <w:p w14:paraId="473A1C27">
      <w:pPr>
        <w:rPr>
          <w:rFonts w:hint="default" w:ascii="Times New Roman" w:hAnsi="Times New Roman" w:eastAsia="黑体" w:cs="Times New Roman"/>
          <w:color w:val="auto"/>
          <w:sz w:val="28"/>
          <w:szCs w:val="28"/>
          <w:highlight w:val="none"/>
        </w:rPr>
      </w:pPr>
    </w:p>
    <w:p w14:paraId="309ADDEA">
      <w:pPr>
        <w:rPr>
          <w:rFonts w:hint="default" w:ascii="Times New Roman" w:hAnsi="Times New Roman" w:eastAsia="黑体" w:cs="Times New Roman"/>
          <w:color w:val="auto"/>
          <w:sz w:val="28"/>
          <w:szCs w:val="28"/>
          <w:highlight w:val="none"/>
        </w:rPr>
      </w:pPr>
    </w:p>
    <w:p w14:paraId="2C13719D">
      <w:pPr>
        <w:rPr>
          <w:rFonts w:hint="default" w:ascii="Times New Roman" w:hAnsi="Times New Roman" w:eastAsia="黑体" w:cs="Times New Roman"/>
          <w:color w:val="auto"/>
          <w:sz w:val="28"/>
          <w:szCs w:val="28"/>
          <w:highlight w:val="none"/>
        </w:rPr>
      </w:pPr>
    </w:p>
    <w:p w14:paraId="730E331F">
      <w:pPr>
        <w:rPr>
          <w:rFonts w:hint="default" w:ascii="Times New Roman" w:hAnsi="Times New Roman" w:eastAsia="黑体" w:cs="Times New Roman"/>
          <w:color w:val="auto"/>
          <w:sz w:val="28"/>
          <w:szCs w:val="28"/>
          <w:highlight w:val="none"/>
        </w:rPr>
      </w:pPr>
    </w:p>
    <w:p w14:paraId="230A8802">
      <w:pPr>
        <w:rPr>
          <w:rFonts w:hint="default" w:ascii="Times New Roman" w:hAnsi="Times New Roman" w:eastAsia="黑体" w:cs="Times New Roman"/>
          <w:color w:val="auto"/>
          <w:sz w:val="28"/>
          <w:szCs w:val="28"/>
          <w:highlight w:val="none"/>
        </w:rPr>
      </w:pPr>
    </w:p>
    <w:p w14:paraId="5DFCFDC1">
      <w:pPr>
        <w:rPr>
          <w:rFonts w:hint="default" w:ascii="Times New Roman" w:hAnsi="Times New Roman" w:eastAsia="黑体" w:cs="Times New Roman"/>
          <w:color w:val="auto"/>
          <w:sz w:val="28"/>
          <w:szCs w:val="28"/>
          <w:highlight w:val="none"/>
        </w:rPr>
      </w:pPr>
    </w:p>
    <w:p w14:paraId="4483667D">
      <w:pPr>
        <w:rPr>
          <w:rFonts w:hint="default" w:ascii="Times New Roman" w:hAnsi="Times New Roman" w:eastAsia="黑体" w:cs="Times New Roman"/>
          <w:color w:val="auto"/>
          <w:sz w:val="28"/>
          <w:szCs w:val="28"/>
          <w:highlight w:val="none"/>
        </w:rPr>
      </w:pPr>
    </w:p>
    <w:p w14:paraId="66A9D779">
      <w:pPr>
        <w:rPr>
          <w:rFonts w:hint="default" w:ascii="Times New Roman" w:hAnsi="Times New Roman" w:eastAsia="黑体" w:cs="Times New Roman"/>
          <w:color w:val="auto"/>
          <w:sz w:val="28"/>
          <w:szCs w:val="28"/>
          <w:highlight w:val="none"/>
        </w:rPr>
      </w:pPr>
    </w:p>
    <w:p w14:paraId="11B48610">
      <w:pPr>
        <w:rPr>
          <w:rFonts w:hint="default" w:ascii="Times New Roman" w:hAnsi="Times New Roman" w:eastAsia="黑体" w:cs="Times New Roman"/>
          <w:color w:val="auto"/>
          <w:sz w:val="28"/>
          <w:szCs w:val="28"/>
          <w:highlight w:val="none"/>
        </w:rPr>
      </w:pPr>
    </w:p>
    <w:p w14:paraId="77525B60">
      <w:pPr>
        <w:pStyle w:val="2"/>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pPr>
      <w:bookmarkStart w:id="11" w:name="_Toc12796"/>
      <w:r>
        <w:rPr>
          <w:rFonts w:hint="default" w:ascii="Times New Roman" w:hAnsi="Times New Roman" w:eastAsia="黑体" w:cs="Times New Roman"/>
          <w:color w:val="auto"/>
          <w:sz w:val="28"/>
          <w:szCs w:val="28"/>
          <w:highlight w:val="none"/>
        </w:rPr>
        <w:t>附录1  资格审查条件（资质最低</w:t>
      </w:r>
      <w:r>
        <w:rPr>
          <w:rFonts w:hint="default" w:ascii="Times New Roman" w:hAnsi="Times New Roman" w:eastAsia="黑体" w:cs="Times New Roman"/>
          <w:color w:val="auto"/>
          <w:sz w:val="28"/>
          <w:szCs w:val="28"/>
          <w:highlight w:val="none"/>
          <w:lang w:eastAsia="zh-CN"/>
        </w:rPr>
        <w:t>要求</w:t>
      </w:r>
      <w:r>
        <w:rPr>
          <w:rFonts w:hint="default" w:ascii="Times New Roman" w:hAnsi="Times New Roman" w:eastAsia="黑体" w:cs="Times New Roman"/>
          <w:color w:val="auto"/>
          <w:sz w:val="28"/>
          <w:szCs w:val="28"/>
          <w:highlight w:val="none"/>
        </w:rPr>
        <w:t>）</w:t>
      </w:r>
      <w:bookmarkEnd w:id="8"/>
      <w:bookmarkEnd w:id="9"/>
      <w:bookmarkEnd w:id="10"/>
      <w:bookmarkEnd w:id="11"/>
    </w:p>
    <w:p w14:paraId="6AC8C812">
      <w:pPr>
        <w:rPr>
          <w:rFonts w:hint="default"/>
          <w:color w:val="auto"/>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B7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8819" w:type="dxa"/>
            <w:noWrap w:val="0"/>
            <w:vAlign w:val="center"/>
          </w:tcPr>
          <w:p w14:paraId="57B6A06A">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施工企业资质等级要求</w:t>
            </w:r>
          </w:p>
        </w:tc>
      </w:tr>
      <w:tr w14:paraId="00B8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19" w:type="dxa"/>
            <w:noWrap w:val="0"/>
            <w:vAlign w:val="center"/>
          </w:tcPr>
          <w:p w14:paraId="06611DD1">
            <w:pPr>
              <w:pStyle w:val="15"/>
              <w:keepNext w:val="0"/>
              <w:keepLines w:val="0"/>
              <w:pageBreakBefore w:val="0"/>
              <w:widowControl w:val="0"/>
              <w:kinsoku/>
              <w:wordWrap/>
              <w:overflowPunct/>
              <w:topLinePunct w:val="0"/>
              <w:autoSpaceDE/>
              <w:autoSpaceDN/>
              <w:bidi w:val="0"/>
              <w:adjustRightInd/>
              <w:snapToGrid/>
              <w:spacing w:line="360" w:lineRule="auto"/>
              <w:ind w:left="108" w:right="62" w:firstLine="42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1、投标人必须具有国内独立法人资格及有效的企业法人营业执照。</w:t>
            </w:r>
          </w:p>
          <w:p w14:paraId="778A7974">
            <w:pPr>
              <w:pStyle w:val="15"/>
              <w:keepNext w:val="0"/>
              <w:keepLines w:val="0"/>
              <w:pageBreakBefore w:val="0"/>
              <w:widowControl w:val="0"/>
              <w:kinsoku/>
              <w:wordWrap/>
              <w:overflowPunct/>
              <w:topLinePunct w:val="0"/>
              <w:autoSpaceDE/>
              <w:autoSpaceDN/>
              <w:bidi w:val="0"/>
              <w:adjustRightInd/>
              <w:snapToGrid/>
              <w:spacing w:line="360" w:lineRule="auto"/>
              <w:ind w:left="108" w:right="62" w:firstLine="42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2、投标人必须具有省级交通运输主管部门颁发且有效的“路基路面养护乙级及以上资质”和“交通安全设施养护资质”和</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桥梁养护乙级及以上资质</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w:t>
            </w:r>
          </w:p>
          <w:p w14:paraId="143FEDC8">
            <w:pPr>
              <w:pStyle w:val="15"/>
              <w:keepNext w:val="0"/>
              <w:keepLines w:val="0"/>
              <w:pageBreakBefore w:val="0"/>
              <w:widowControl w:val="0"/>
              <w:kinsoku/>
              <w:wordWrap/>
              <w:overflowPunct/>
              <w:topLinePunct w:val="0"/>
              <w:autoSpaceDE/>
              <w:autoSpaceDN/>
              <w:bidi w:val="0"/>
              <w:adjustRightInd/>
              <w:snapToGrid/>
              <w:spacing w:line="360" w:lineRule="auto"/>
              <w:ind w:left="108" w:right="62" w:firstLine="420"/>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2"/>
                <w:sz w:val="24"/>
                <w:szCs w:val="24"/>
                <w:highlight w:val="none"/>
                <w:lang w:val="en-US" w:eastAsia="zh-CN" w:bidi="ar-SA"/>
              </w:rPr>
              <w:t>3、投标人必须具有建设行政主管部门颁发的有效安全生产许可证。</w:t>
            </w:r>
          </w:p>
        </w:tc>
      </w:tr>
      <w:tr w14:paraId="3983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40012DCB">
            <w:pPr>
              <w:pageBreakBefore w:val="0"/>
              <w:kinsoku/>
              <w:wordWrap w:val="0"/>
              <w:bidi w:val="0"/>
              <w:adjustRightInd w:val="0"/>
              <w:snapToGrid w:val="0"/>
              <w:spacing w:line="400" w:lineRule="atLeast"/>
              <w:ind w:firstLine="420" w:firstLineChars="200"/>
              <w:jc w:val="left"/>
              <w:rPr>
                <w:rFonts w:hint="default" w:ascii="Times New Roman" w:hAnsi="Times New Roman" w:cs="Times New Roman"/>
                <w:color w:val="auto"/>
                <w:szCs w:val="21"/>
                <w:highlight w:val="none"/>
              </w:rPr>
            </w:pPr>
            <w:bookmarkStart w:id="12" w:name="_Toc4197"/>
            <w:bookmarkStart w:id="13" w:name="_Toc234832864"/>
            <w:bookmarkStart w:id="14" w:name="_Toc3559"/>
            <w:r>
              <w:rPr>
                <w:rFonts w:hint="default" w:ascii="Times New Roman" w:hAnsi="Times New Roman" w:cs="Times New Roman"/>
                <w:color w:val="auto"/>
                <w:szCs w:val="21"/>
                <w:highlight w:val="none"/>
              </w:rPr>
              <w:t>注：1.投标人应在“辽宁省公共资源交易一张网电子化平台”交通工程交易系统主体信息库中建立信用信息档案，通过电子投标文件制作系统生成“投标人基本情况表”。</w:t>
            </w:r>
          </w:p>
          <w:p w14:paraId="3C162ACC">
            <w:pPr>
              <w:pageBreakBefore w:val="0"/>
              <w:kinsoku/>
              <w:wordWrap w:val="0"/>
              <w:bidi w:val="0"/>
              <w:adjustRightInd w:val="0"/>
              <w:snapToGrid w:val="0"/>
              <w:spacing w:line="400" w:lineRule="atLeas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2.“投标人基本情况表”应附企业法人营业执照、安全生产许可证、企业资质等级证书、银行基本账户证明材料等资料。上述资料应从“电子交易平台”主体信息库中选择并进行超链接。</w:t>
            </w:r>
          </w:p>
          <w:p w14:paraId="5EFC8700">
            <w:pPr>
              <w:pageBreakBefore w:val="0"/>
              <w:kinsoku/>
              <w:wordWrap w:val="0"/>
              <w:bidi w:val="0"/>
              <w:adjustRightInd w:val="0"/>
              <w:snapToGrid w:val="0"/>
              <w:spacing w:line="400" w:lineRule="atLeas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法人营业执照、安全生产许可证、企业资质等级证书、银行基本账户证明材料等资料应提供全本(证书封面、封底、空白页除外),应包括投标人名称、投标人其他相关信息、颁发机构名称、投标人信息变更情况等关键页在内。</w:t>
            </w:r>
          </w:p>
          <w:p w14:paraId="6F816CC8">
            <w:pPr>
              <w:pageBreakBefore w:val="0"/>
              <w:kinsoku/>
              <w:wordWrap w:val="0"/>
              <w:bidi w:val="0"/>
              <w:adjustRightInd w:val="0"/>
              <w:snapToGrid w:val="0"/>
              <w:spacing w:line="400" w:lineRule="atLeas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仔细检查电子投标文件制作系统生成的资格审查资料各项表格中的信息及相关主体信息库超链接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p w14:paraId="31684966">
            <w:pPr>
              <w:pageBreakBefore w:val="0"/>
              <w:kinsoku/>
              <w:wordWrap w:val="0"/>
              <w:bidi w:val="0"/>
              <w:adjustRightInd w:val="0"/>
              <w:snapToGrid w:val="0"/>
              <w:spacing w:line="400" w:lineRule="atLeas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3.投标人应提供其在“国家企业信用信息公示系统”网站中“基础信息(体现营业执照信息、 股东及出资信息)”的查询结果网页截图。</w:t>
            </w:r>
          </w:p>
          <w:p w14:paraId="46FC394B">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0AFFADE9">
      <w:pPr>
        <w:rPr>
          <w:rFonts w:hint="default" w:ascii="Times New Roman" w:hAnsi="Times New Roman" w:eastAsia="黑体" w:cs="Times New Roman"/>
          <w:color w:val="auto"/>
          <w:sz w:val="28"/>
          <w:szCs w:val="28"/>
          <w:highlight w:val="none"/>
        </w:rPr>
      </w:pPr>
    </w:p>
    <w:p w14:paraId="7DF1C650">
      <w:pPr>
        <w:rPr>
          <w:rFonts w:hint="default" w:ascii="Times New Roman" w:hAnsi="Times New Roman" w:eastAsia="黑体" w:cs="Times New Roman"/>
          <w:color w:val="auto"/>
          <w:sz w:val="28"/>
          <w:szCs w:val="28"/>
          <w:highlight w:val="none"/>
        </w:rPr>
      </w:pPr>
    </w:p>
    <w:p w14:paraId="06D857A6">
      <w:pPr>
        <w:rPr>
          <w:rFonts w:hint="default" w:ascii="Times New Roman" w:hAnsi="Times New Roman" w:eastAsia="黑体" w:cs="Times New Roman"/>
          <w:color w:val="auto"/>
          <w:sz w:val="28"/>
          <w:szCs w:val="28"/>
          <w:highlight w:val="none"/>
        </w:rPr>
      </w:pPr>
    </w:p>
    <w:p w14:paraId="1E58D7F6">
      <w:pPr>
        <w:rPr>
          <w:rFonts w:hint="default" w:ascii="Times New Roman" w:hAnsi="Times New Roman" w:eastAsia="黑体" w:cs="Times New Roman"/>
          <w:color w:val="auto"/>
          <w:sz w:val="28"/>
          <w:szCs w:val="28"/>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31" w:bottom="1644" w:left="1588" w:header="851" w:footer="851" w:gutter="0"/>
          <w:pgBorders>
            <w:top w:val="none" w:sz="0" w:space="0"/>
            <w:left w:val="none" w:sz="0" w:space="0"/>
            <w:bottom w:val="none" w:sz="0" w:space="0"/>
            <w:right w:val="none" w:sz="0" w:space="0"/>
          </w:pgBorders>
          <w:pgNumType w:fmt="decimal"/>
          <w:cols w:space="720" w:num="1"/>
          <w:docGrid w:linePitch="312" w:charSpace="0"/>
        </w:sectPr>
      </w:pPr>
    </w:p>
    <w:p w14:paraId="4A5AE5FD">
      <w:pPr>
        <w:pStyle w:val="5"/>
        <w:spacing w:before="91" w:line="222" w:lineRule="auto"/>
        <w:ind w:left="2169"/>
        <w:outlineLvl w:val="0"/>
        <w:rPr>
          <w:color w:val="auto"/>
          <w:sz w:val="28"/>
          <w:szCs w:val="28"/>
        </w:rPr>
      </w:pPr>
      <w:bookmarkStart w:id="15" w:name="_Toc24517"/>
      <w:r>
        <w:rPr>
          <w:rFonts w:hint="default" w:ascii="Times New Roman" w:hAnsi="Times New Roman" w:eastAsia="黑体" w:cs="Times New Roman"/>
          <w:color w:val="auto"/>
          <w:sz w:val="28"/>
          <w:szCs w:val="28"/>
          <w:highlight w:val="none"/>
        </w:rPr>
        <w:t xml:space="preserve">附录2  </w:t>
      </w:r>
      <w:bookmarkEnd w:id="12"/>
      <w:bookmarkEnd w:id="13"/>
      <w:bookmarkEnd w:id="14"/>
      <w:r>
        <w:rPr>
          <w:b/>
          <w:bCs/>
          <w:color w:val="auto"/>
          <w:spacing w:val="10"/>
          <w:sz w:val="28"/>
          <w:szCs w:val="28"/>
        </w:rPr>
        <w:t>资格审查条件(业绩最低要求)</w:t>
      </w:r>
      <w:bookmarkEnd w:id="1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3FD0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8227DC9">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color w:val="auto"/>
                <w:spacing w:val="-2"/>
              </w:rPr>
              <w:t>业绩要求</w:t>
            </w:r>
          </w:p>
        </w:tc>
      </w:tr>
      <w:tr w14:paraId="2949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jc w:val="center"/>
        </w:trPr>
        <w:tc>
          <w:tcPr>
            <w:tcW w:w="8819" w:type="dxa"/>
            <w:noWrap w:val="0"/>
            <w:vAlign w:val="top"/>
          </w:tcPr>
          <w:p w14:paraId="056E8469">
            <w:pPr>
              <w:spacing w:line="287" w:lineRule="auto"/>
              <w:rPr>
                <w:rFonts w:ascii="Arial"/>
                <w:color w:val="auto"/>
                <w:sz w:val="21"/>
              </w:rPr>
            </w:pPr>
          </w:p>
          <w:p w14:paraId="77F24468">
            <w:pPr>
              <w:spacing w:line="288" w:lineRule="auto"/>
              <w:rPr>
                <w:rFonts w:ascii="Arial"/>
                <w:color w:val="auto"/>
                <w:sz w:val="21"/>
              </w:rPr>
            </w:pPr>
          </w:p>
          <w:p w14:paraId="177F5460">
            <w:pPr>
              <w:pStyle w:val="15"/>
              <w:spacing w:before="72" w:line="220" w:lineRule="auto"/>
              <w:ind w:left="485" w:leftChars="0"/>
              <w:jc w:val="center"/>
              <w:rPr>
                <w:rFonts w:hint="default" w:ascii="Times New Roman" w:hAnsi="Times New Roman" w:cs="Times New Roman"/>
                <w:color w:val="auto"/>
                <w:szCs w:val="21"/>
                <w:highlight w:val="none"/>
              </w:rPr>
            </w:pPr>
            <w:r>
              <w:rPr>
                <w:color w:val="auto"/>
              </w:rPr>
              <w:t>无</w:t>
            </w:r>
          </w:p>
        </w:tc>
      </w:tr>
      <w:tr w14:paraId="4637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top"/>
          </w:tcPr>
          <w:p w14:paraId="0F268BD8">
            <w:pPr>
              <w:pStyle w:val="15"/>
              <w:spacing w:before="4" w:line="341" w:lineRule="auto"/>
              <w:ind w:left="75" w:leftChars="0" w:right="1" w:rightChars="0" w:firstLine="439" w:firstLineChars="0"/>
              <w:jc w:val="both"/>
              <w:rPr>
                <w:rFonts w:hint="default" w:ascii="Times New Roman" w:hAnsi="Times New Roman" w:cs="Times New Roman"/>
                <w:color w:val="auto"/>
                <w:szCs w:val="21"/>
                <w:highlight w:val="none"/>
              </w:rPr>
            </w:pPr>
          </w:p>
        </w:tc>
      </w:tr>
    </w:tbl>
    <w:p w14:paraId="4F7E127F">
      <w:pPr>
        <w:pageBreakBefore w:val="0"/>
        <w:kinsoku/>
        <w:wordWrap w:val="0"/>
        <w:bidi w:val="0"/>
        <w:adjustRightInd w:val="0"/>
        <w:snapToGrid w:val="0"/>
        <w:spacing w:line="300" w:lineRule="exact"/>
        <w:rPr>
          <w:rFonts w:hint="default" w:ascii="Times New Roman" w:hAnsi="Times New Roman" w:eastAsia="黑体" w:cs="Times New Roman"/>
          <w:color w:val="auto"/>
          <w:sz w:val="24"/>
          <w:highlight w:val="none"/>
        </w:rPr>
      </w:pPr>
    </w:p>
    <w:p w14:paraId="51494E0D">
      <w:pPr>
        <w:pageBreakBefore w:val="0"/>
        <w:kinsoku/>
        <w:wordWrap w:val="0"/>
        <w:bidi w:val="0"/>
        <w:adjustRightInd w:val="0"/>
        <w:snapToGrid w:val="0"/>
        <w:spacing w:line="300" w:lineRule="exact"/>
        <w:rPr>
          <w:rFonts w:hint="default" w:ascii="Times New Roman" w:hAnsi="Times New Roman" w:eastAsia="隶书" w:cs="Times New Roman"/>
          <w:b/>
          <w:color w:val="auto"/>
          <w:sz w:val="32"/>
          <w:highlight w:val="none"/>
        </w:rPr>
      </w:pPr>
      <w:r>
        <w:rPr>
          <w:rFonts w:hint="default" w:ascii="Times New Roman" w:hAnsi="Times New Roman" w:eastAsia="黑体" w:cs="Times New Roman"/>
          <w:color w:val="auto"/>
          <w:sz w:val="24"/>
          <w:highlight w:val="none"/>
        </w:rPr>
        <w:br w:type="page"/>
      </w:r>
    </w:p>
    <w:p w14:paraId="48BF4075">
      <w:pPr>
        <w:pStyle w:val="2"/>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pPr>
      <w:bookmarkStart w:id="16" w:name="_Toc234832866"/>
      <w:bookmarkStart w:id="17" w:name="_Toc24335"/>
      <w:bookmarkStart w:id="18" w:name="_Toc2894"/>
      <w:bookmarkStart w:id="19" w:name="_Toc17966"/>
      <w:r>
        <w:rPr>
          <w:rFonts w:hint="default" w:ascii="Times New Roman" w:hAnsi="Times New Roman" w:eastAsia="黑体" w:cs="Times New Roman"/>
          <w:color w:val="auto"/>
          <w:sz w:val="28"/>
          <w:szCs w:val="28"/>
          <w:highlight w:val="none"/>
        </w:rPr>
        <w:t>附录</w:t>
      </w:r>
      <w:r>
        <w:rPr>
          <w:rFonts w:hint="eastAsia" w:cs="Times New Roman"/>
          <w:color w:val="auto"/>
          <w:sz w:val="28"/>
          <w:szCs w:val="28"/>
          <w:highlight w:val="none"/>
          <w:lang w:val="en-US" w:eastAsia="zh-CN"/>
        </w:rPr>
        <w:t>3</w:t>
      </w:r>
      <w:r>
        <w:rPr>
          <w:rFonts w:hint="default" w:ascii="Times New Roman" w:hAnsi="Times New Roman" w:eastAsia="黑体" w:cs="Times New Roman"/>
          <w:color w:val="auto"/>
          <w:sz w:val="28"/>
          <w:szCs w:val="28"/>
          <w:highlight w:val="none"/>
        </w:rPr>
        <w:t xml:space="preserve">  资格审查条件（信誉最低要求）</w:t>
      </w:r>
      <w:bookmarkEnd w:id="16"/>
      <w:bookmarkEnd w:id="17"/>
      <w:bookmarkEnd w:id="18"/>
      <w:bookmarkEnd w:id="1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21BE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392073A">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 誉 要 求</w:t>
            </w:r>
          </w:p>
        </w:tc>
      </w:tr>
      <w:tr w14:paraId="44C3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19" w:type="dxa"/>
            <w:noWrap w:val="0"/>
            <w:vAlign w:val="center"/>
          </w:tcPr>
          <w:p w14:paraId="4E6DAFB7">
            <w:pPr>
              <w:rPr>
                <w:color w:val="auto"/>
                <w:highlight w:val="none"/>
              </w:rPr>
            </w:pPr>
          </w:p>
          <w:p w14:paraId="4DCFA1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(1)未被省级及以上交通运输主管部门取消招标项目所在地的投标资格且处于有效期内；</w:t>
            </w:r>
          </w:p>
          <w:p w14:paraId="12A275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(2)未被责令停业，暂扣或吊销执照，或吊销资质证书；</w:t>
            </w:r>
          </w:p>
          <w:p w14:paraId="273DEF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(3)未进入清算程序，或被宣告破产，或其他丧失履约能力的情形；</w:t>
            </w:r>
          </w:p>
          <w:p w14:paraId="3282FF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(4)未在国家企业信用信息公示系统(http://www.gsxt.gov.cn)中被列入严重违法失信企业名单；</w:t>
            </w:r>
          </w:p>
          <w:p w14:paraId="089EAEC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(5)未在“信用中国”网站(http://www.creditchina.gov.cn)或“中国执行信息公开网”(http://zxgk.court.gov.cn)中被列入失信被执行人名单；</w:t>
            </w:r>
          </w:p>
          <w:p w14:paraId="0A9143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(6)投标人或其法定代表人、拟委任的项目经理在近三年内无行贿犯罪行为；</w:t>
            </w:r>
          </w:p>
          <w:p w14:paraId="1E3C89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Cs w:val="21"/>
                <w:highlight w:val="none"/>
              </w:rPr>
            </w:pPr>
            <w:r>
              <w:rPr>
                <w:rFonts w:hint="eastAsia" w:ascii="宋体" w:hAnsi="宋体" w:eastAsia="宋体" w:cs="宋体"/>
                <w:color w:val="auto"/>
                <w:kern w:val="0"/>
                <w:sz w:val="21"/>
                <w:szCs w:val="21"/>
                <w:lang w:val="en-US" w:eastAsia="zh-CN" w:bidi="ar"/>
              </w:rPr>
              <w:t>(7)法律法规规定的其他情形。</w:t>
            </w:r>
          </w:p>
        </w:tc>
      </w:tr>
      <w:tr w14:paraId="1004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07DAF015">
            <w:pPr>
              <w:pStyle w:val="15"/>
              <w:spacing w:before="142" w:line="336" w:lineRule="auto"/>
              <w:ind w:left="95" w:right="73" w:firstLine="419"/>
              <w:jc w:val="both"/>
              <w:rPr>
                <w:color w:val="auto"/>
                <w:spacing w:val="0"/>
                <w:sz w:val="22"/>
                <w:szCs w:val="22"/>
              </w:rPr>
            </w:pPr>
            <w:r>
              <w:rPr>
                <w:color w:val="auto"/>
                <w:spacing w:val="0"/>
                <w:sz w:val="22"/>
                <w:szCs w:val="22"/>
              </w:rPr>
              <w:t>注：1.投标人单位、个人(指法定代表人、拟投入的项目经理)近三年内(以投标截止日期为截止日、往前推算3个年度)应均无行贿犯罪行为，独立投标人应按第九章“投标文件格式”的要求提供“无行贿犯罪行为承诺函”。</w:t>
            </w:r>
          </w:p>
          <w:p w14:paraId="5D16860D">
            <w:pPr>
              <w:pStyle w:val="15"/>
              <w:spacing w:before="1" w:line="276" w:lineRule="auto"/>
              <w:ind w:left="108" w:firstLine="416"/>
              <w:rPr>
                <w:color w:val="auto"/>
                <w:spacing w:val="0"/>
                <w:sz w:val="22"/>
                <w:szCs w:val="22"/>
              </w:rPr>
            </w:pPr>
            <w:r>
              <w:rPr>
                <w:color w:val="auto"/>
                <w:spacing w:val="0"/>
                <w:sz w:val="22"/>
                <w:szCs w:val="22"/>
              </w:rPr>
              <w:t>2.投标人应提供其在“国家企业信用信息公示系统”网站中未被列入</w:t>
            </w:r>
            <w:r>
              <w:rPr>
                <w:b w:val="0"/>
                <w:bCs w:val="0"/>
                <w:color w:val="auto"/>
                <w:spacing w:val="0"/>
                <w:sz w:val="22"/>
                <w:szCs w:val="22"/>
              </w:rPr>
              <w:t>严重违法失信企业名单的网页截图</w:t>
            </w:r>
            <w:r>
              <w:rPr>
                <w:b/>
                <w:bCs/>
                <w:color w:val="auto"/>
                <w:spacing w:val="0"/>
                <w:sz w:val="22"/>
                <w:szCs w:val="22"/>
              </w:rPr>
              <w:t>。</w:t>
            </w:r>
          </w:p>
          <w:p w14:paraId="04AE3A8B">
            <w:pPr>
              <w:pStyle w:val="15"/>
              <w:spacing w:before="140" w:line="274" w:lineRule="auto"/>
              <w:ind w:left="105" w:right="163" w:firstLine="409"/>
              <w:rPr>
                <w:color w:val="auto"/>
                <w:spacing w:val="0"/>
                <w:sz w:val="22"/>
                <w:szCs w:val="22"/>
              </w:rPr>
            </w:pPr>
            <w:r>
              <w:rPr>
                <w:color w:val="auto"/>
                <w:spacing w:val="0"/>
                <w:sz w:val="22"/>
                <w:szCs w:val="22"/>
              </w:rPr>
              <w:t>3.投标人应提供其在“信用中国”(或中国执行信息公开网)网站中未被列入失信被执行人名单的网页截图。</w:t>
            </w:r>
          </w:p>
          <w:p w14:paraId="41D01862">
            <w:pPr>
              <w:pStyle w:val="15"/>
              <w:spacing w:before="140" w:line="274" w:lineRule="auto"/>
              <w:ind w:left="105" w:right="163" w:firstLine="409"/>
              <w:rPr>
                <w:rFonts w:hint="default" w:ascii="Times New Roman" w:hAnsi="Times New Roman" w:cs="Times New Roman"/>
                <w:color w:val="auto"/>
                <w:spacing w:val="0"/>
                <w:szCs w:val="21"/>
                <w:highlight w:val="none"/>
              </w:rPr>
            </w:pPr>
            <w:r>
              <w:rPr>
                <w:b w:val="0"/>
                <w:bCs w:val="0"/>
                <w:color w:val="auto"/>
                <w:spacing w:val="0"/>
                <w:sz w:val="22"/>
                <w:szCs w:val="22"/>
              </w:rPr>
              <w:t>4.投标人应按第九章“投标文件格式”的要求提供“投标人信用评价结果信息表”及其证明材料。</w:t>
            </w:r>
          </w:p>
          <w:p w14:paraId="6F27302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787E5AF7">
      <w:pPr>
        <w:pageBreakBefore w:val="0"/>
        <w:kinsoku/>
        <w:wordWrap w:val="0"/>
        <w:bidi w:val="0"/>
        <w:adjustRightInd w:val="0"/>
        <w:snapToGrid w:val="0"/>
        <w:spacing w:line="300" w:lineRule="exact"/>
        <w:rPr>
          <w:rFonts w:hint="default" w:ascii="Times New Roman" w:hAnsi="Times New Roman" w:eastAsia="隶书" w:cs="Times New Roman"/>
          <w:color w:val="auto"/>
          <w:sz w:val="32"/>
          <w:highlight w:val="none"/>
        </w:rPr>
      </w:pPr>
    </w:p>
    <w:p w14:paraId="7F157FFB">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31316A96">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77E09C38">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3CAEF4B3">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52119268">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4F039B12">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560CD8AF">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640B8021">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4CE9AA7C">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color w:val="auto"/>
          <w:sz w:val="24"/>
          <w:highlight w:val="none"/>
        </w:rPr>
      </w:pPr>
    </w:p>
    <w:p w14:paraId="1E5101BA">
      <w:pPr>
        <w:pStyle w:val="2"/>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pPr>
      <w:bookmarkStart w:id="20" w:name="_Toc8502"/>
      <w:bookmarkStart w:id="21" w:name="_Toc4881"/>
      <w:bookmarkStart w:id="22" w:name="_Toc234832867"/>
      <w:bookmarkStart w:id="23" w:name="_Toc27658"/>
      <w:r>
        <w:rPr>
          <w:rFonts w:hint="default" w:ascii="Times New Roman" w:hAnsi="Times New Roman" w:eastAsia="黑体" w:cs="Times New Roman"/>
          <w:color w:val="auto"/>
          <w:sz w:val="28"/>
          <w:szCs w:val="28"/>
          <w:highlight w:val="none"/>
        </w:rPr>
        <w:t>附录</w:t>
      </w:r>
      <w:r>
        <w:rPr>
          <w:rFonts w:hint="eastAsia" w:cs="Times New Roman"/>
          <w:color w:val="auto"/>
          <w:sz w:val="28"/>
          <w:szCs w:val="28"/>
          <w:highlight w:val="none"/>
          <w:lang w:val="en-US" w:eastAsia="zh-CN"/>
        </w:rPr>
        <w:t>4</w:t>
      </w:r>
      <w:r>
        <w:rPr>
          <w:rFonts w:hint="default" w:ascii="Times New Roman" w:hAnsi="Times New Roman" w:eastAsia="黑体" w:cs="Times New Roman"/>
          <w:color w:val="auto"/>
          <w:sz w:val="28"/>
          <w:szCs w:val="28"/>
          <w:highlight w:val="none"/>
        </w:rPr>
        <w:t xml:space="preserve">  资格审查条件（项目经理和项目总工最低要求）</w:t>
      </w:r>
      <w:bookmarkEnd w:id="20"/>
      <w:bookmarkEnd w:id="21"/>
      <w:bookmarkEnd w:id="22"/>
      <w:bookmarkEnd w:id="23"/>
    </w:p>
    <w:tbl>
      <w:tblPr>
        <w:tblStyle w:val="1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87"/>
        <w:gridCol w:w="7557"/>
      </w:tblGrid>
      <w:tr w14:paraId="5748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33" w:type="dxa"/>
            <w:noWrap w:val="0"/>
            <w:vAlign w:val="center"/>
          </w:tcPr>
          <w:p w14:paraId="4F6EE44C">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w:t>
            </w:r>
          </w:p>
        </w:tc>
        <w:tc>
          <w:tcPr>
            <w:tcW w:w="787" w:type="dxa"/>
            <w:noWrap w:val="0"/>
            <w:vAlign w:val="center"/>
          </w:tcPr>
          <w:p w14:paraId="520032DB">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7557" w:type="dxa"/>
            <w:noWrap w:val="0"/>
            <w:vAlign w:val="center"/>
          </w:tcPr>
          <w:p w14:paraId="1BCFB63A">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 格 要 求</w:t>
            </w:r>
          </w:p>
        </w:tc>
      </w:tr>
      <w:tr w14:paraId="64CC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733" w:type="dxa"/>
            <w:shd w:val="clear" w:color="auto" w:fill="auto"/>
            <w:noWrap w:val="0"/>
            <w:vAlign w:val="center"/>
          </w:tcPr>
          <w:p w14:paraId="23182DE6">
            <w:pPr>
              <w:pStyle w:val="15"/>
              <w:spacing w:before="71" w:line="220" w:lineRule="auto"/>
              <w:jc w:val="center"/>
              <w:rPr>
                <w:rFonts w:hint="default" w:ascii="Times New Roman" w:hAnsi="Times New Roman" w:eastAsia="宋体" w:cs="Times New Roman"/>
                <w:color w:val="auto"/>
                <w:kern w:val="2"/>
                <w:sz w:val="24"/>
                <w:szCs w:val="24"/>
                <w:highlight w:val="none"/>
                <w:lang w:val="en-US" w:eastAsia="zh-CN" w:bidi="ar-SA"/>
              </w:rPr>
            </w:pPr>
            <w:r>
              <w:rPr>
                <w:color w:val="auto"/>
                <w:spacing w:val="-3"/>
                <w:sz w:val="24"/>
                <w:szCs w:val="24"/>
              </w:rPr>
              <w:t>项目经理</w:t>
            </w:r>
          </w:p>
        </w:tc>
        <w:tc>
          <w:tcPr>
            <w:tcW w:w="787" w:type="dxa"/>
            <w:shd w:val="clear" w:color="auto" w:fill="auto"/>
            <w:noWrap w:val="0"/>
            <w:vAlign w:val="center"/>
          </w:tcPr>
          <w:p w14:paraId="696B56EA">
            <w:pPr>
              <w:pStyle w:val="15"/>
              <w:spacing w:before="71" w:line="241" w:lineRule="auto"/>
              <w:ind w:left="241" w:leftChars="0"/>
              <w:jc w:val="both"/>
              <w:rPr>
                <w:rFonts w:hint="default" w:ascii="Times New Roman" w:hAnsi="Times New Roman" w:eastAsia="宋体" w:cs="Times New Roman"/>
                <w:color w:val="auto"/>
                <w:kern w:val="2"/>
                <w:sz w:val="24"/>
                <w:szCs w:val="24"/>
                <w:highlight w:val="none"/>
                <w:lang w:val="en-US" w:eastAsia="zh-CN" w:bidi="ar-SA"/>
              </w:rPr>
            </w:pPr>
            <w:r>
              <w:rPr>
                <w:color w:val="auto"/>
                <w:sz w:val="24"/>
                <w:szCs w:val="24"/>
              </w:rPr>
              <w:t>1</w:t>
            </w:r>
          </w:p>
        </w:tc>
        <w:tc>
          <w:tcPr>
            <w:tcW w:w="7557" w:type="dxa"/>
            <w:noWrap w:val="0"/>
            <w:vAlign w:val="center"/>
          </w:tcPr>
          <w:p w14:paraId="7EECD90C">
            <w:pPr>
              <w:pStyle w:val="15"/>
              <w:spacing w:before="187" w:line="325" w:lineRule="auto"/>
              <w:jc w:val="both"/>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具有公路工程专业二级及以上建造师证书以及交通运输行业主管部门颁发的安全生产考核合格“B”类证书，证书应在有效期内且目前必须注册在投标人单位。</w:t>
            </w:r>
          </w:p>
        </w:tc>
      </w:tr>
      <w:tr w14:paraId="2794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33" w:type="dxa"/>
            <w:shd w:val="clear" w:color="auto" w:fill="auto"/>
            <w:noWrap w:val="0"/>
            <w:vAlign w:val="center"/>
          </w:tcPr>
          <w:p w14:paraId="0C56B91D">
            <w:pPr>
              <w:pStyle w:val="15"/>
              <w:spacing w:before="72" w:line="220" w:lineRule="auto"/>
              <w:jc w:val="center"/>
              <w:rPr>
                <w:rFonts w:hint="default" w:ascii="Times New Roman" w:hAnsi="Times New Roman" w:eastAsia="宋体" w:cs="Times New Roman"/>
                <w:color w:val="auto"/>
                <w:kern w:val="2"/>
                <w:sz w:val="24"/>
                <w:szCs w:val="24"/>
                <w:highlight w:val="none"/>
                <w:lang w:val="en-US" w:eastAsia="zh-CN" w:bidi="ar-SA"/>
              </w:rPr>
            </w:pPr>
            <w:r>
              <w:rPr>
                <w:color w:val="auto"/>
                <w:spacing w:val="3"/>
                <w:sz w:val="24"/>
                <w:szCs w:val="24"/>
              </w:rPr>
              <w:t>项目总工</w:t>
            </w:r>
          </w:p>
        </w:tc>
        <w:tc>
          <w:tcPr>
            <w:tcW w:w="787" w:type="dxa"/>
            <w:shd w:val="clear" w:color="auto" w:fill="auto"/>
            <w:noWrap w:val="0"/>
            <w:vAlign w:val="center"/>
          </w:tcPr>
          <w:p w14:paraId="72DADD56">
            <w:pPr>
              <w:pStyle w:val="15"/>
              <w:spacing w:before="72" w:line="241" w:lineRule="auto"/>
              <w:ind w:left="241" w:leftChars="0"/>
              <w:jc w:val="both"/>
              <w:rPr>
                <w:rFonts w:hint="default" w:ascii="Times New Roman" w:hAnsi="Times New Roman" w:eastAsia="宋体" w:cs="Times New Roman"/>
                <w:color w:val="auto"/>
                <w:kern w:val="2"/>
                <w:sz w:val="24"/>
                <w:szCs w:val="24"/>
                <w:highlight w:val="none"/>
                <w:lang w:val="en-US" w:eastAsia="zh-CN" w:bidi="ar-SA"/>
              </w:rPr>
            </w:pPr>
            <w:r>
              <w:rPr>
                <w:color w:val="auto"/>
                <w:sz w:val="24"/>
                <w:szCs w:val="24"/>
              </w:rPr>
              <w:t>1</w:t>
            </w:r>
          </w:p>
        </w:tc>
        <w:tc>
          <w:tcPr>
            <w:tcW w:w="7557" w:type="dxa"/>
            <w:noWrap w:val="0"/>
            <w:vAlign w:val="center"/>
          </w:tcPr>
          <w:p w14:paraId="5AF2306E">
            <w:pPr>
              <w:pStyle w:val="15"/>
              <w:spacing w:before="71" w:line="219" w:lineRule="auto"/>
              <w:jc w:val="both"/>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具有公路工程相关专业中级及以上技术职称。</w:t>
            </w:r>
          </w:p>
        </w:tc>
      </w:tr>
      <w:tr w14:paraId="1E7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7" w:type="dxa"/>
            <w:gridSpan w:val="3"/>
            <w:noWrap w:val="0"/>
            <w:vAlign w:val="center"/>
          </w:tcPr>
          <w:p w14:paraId="436A6A0B">
            <w:pPr>
              <w:pStyle w:val="15"/>
              <w:keepNext w:val="0"/>
              <w:keepLines w:val="0"/>
              <w:pageBreakBefore w:val="0"/>
              <w:widowControl w:val="0"/>
              <w:kinsoku/>
              <w:wordWrap/>
              <w:overflowPunct/>
              <w:topLinePunct w:val="0"/>
              <w:autoSpaceDE/>
              <w:autoSpaceDN/>
              <w:bidi w:val="0"/>
              <w:adjustRightInd/>
              <w:snapToGrid/>
              <w:spacing w:line="312" w:lineRule="auto"/>
              <w:ind w:left="0" w:firstLine="419"/>
              <w:textAlignment w:val="auto"/>
              <w:rPr>
                <w:color w:val="auto"/>
                <w:spacing w:val="0"/>
                <w:sz w:val="24"/>
                <w:szCs w:val="24"/>
              </w:rPr>
            </w:pPr>
            <w:r>
              <w:rPr>
                <w:b/>
                <w:bCs/>
                <w:color w:val="auto"/>
                <w:spacing w:val="0"/>
                <w:sz w:val="24"/>
                <w:szCs w:val="24"/>
              </w:rPr>
              <w:t>注：1.投标人应在“辽宁省公共资源交易平台交通工程交易系统主体信息库”中建立信用信息档案，通过电子投标文件制作系统生成“拟委任的项目经理和项目总工资历表”。</w:t>
            </w:r>
          </w:p>
          <w:p w14:paraId="4AE9E76E">
            <w:pPr>
              <w:pStyle w:val="15"/>
              <w:keepNext w:val="0"/>
              <w:keepLines w:val="0"/>
              <w:pageBreakBefore w:val="0"/>
              <w:widowControl w:val="0"/>
              <w:kinsoku/>
              <w:wordWrap/>
              <w:overflowPunct/>
              <w:topLinePunct w:val="0"/>
              <w:autoSpaceDE/>
              <w:autoSpaceDN/>
              <w:bidi w:val="0"/>
              <w:adjustRightInd/>
              <w:snapToGrid/>
              <w:spacing w:line="312" w:lineRule="auto"/>
              <w:ind w:left="0" w:firstLine="420"/>
              <w:jc w:val="both"/>
              <w:textAlignment w:val="auto"/>
              <w:rPr>
                <w:color w:val="auto"/>
                <w:spacing w:val="0"/>
                <w:sz w:val="24"/>
                <w:szCs w:val="24"/>
              </w:rPr>
            </w:pPr>
            <w:r>
              <w:rPr>
                <w:b/>
                <w:bCs/>
                <w:color w:val="auto"/>
                <w:spacing w:val="0"/>
                <w:sz w:val="24"/>
                <w:szCs w:val="24"/>
              </w:rPr>
              <w:t>2.投标人应根据资格审查条件提供主要人员的身份证、职称证书、建造师注册证书、安全生产考核合</w:t>
            </w:r>
            <w:r>
              <w:rPr>
                <w:rFonts w:ascii="宋体" w:hAnsi="宋体" w:eastAsia="宋体" w:cs="宋体"/>
                <w:b/>
                <w:bCs/>
                <w:color w:val="auto"/>
                <w:spacing w:val="0"/>
                <w:sz w:val="24"/>
                <w:szCs w:val="24"/>
              </w:rPr>
              <w:t>格证书、养老保险证明等资料。上述</w:t>
            </w:r>
            <w:r>
              <w:rPr>
                <w:b/>
                <w:bCs/>
                <w:color w:val="auto"/>
                <w:spacing w:val="0"/>
                <w:sz w:val="24"/>
                <w:szCs w:val="24"/>
              </w:rPr>
              <w:t>材料应从“电子交易平台”主体信息库中选择并进行超链接。</w:t>
            </w:r>
          </w:p>
          <w:p w14:paraId="02701FAB">
            <w:pPr>
              <w:pStyle w:val="15"/>
              <w:keepNext w:val="0"/>
              <w:keepLines w:val="0"/>
              <w:pageBreakBefore w:val="0"/>
              <w:widowControl w:val="0"/>
              <w:kinsoku/>
              <w:wordWrap/>
              <w:overflowPunct/>
              <w:topLinePunct w:val="0"/>
              <w:autoSpaceDE/>
              <w:autoSpaceDN/>
              <w:bidi w:val="0"/>
              <w:adjustRightInd/>
              <w:snapToGrid/>
              <w:spacing w:line="312" w:lineRule="auto"/>
              <w:ind w:left="0" w:firstLine="429"/>
              <w:jc w:val="both"/>
              <w:textAlignment w:val="auto"/>
              <w:rPr>
                <w:color w:val="auto"/>
                <w:spacing w:val="0"/>
                <w:sz w:val="24"/>
                <w:szCs w:val="24"/>
              </w:rPr>
            </w:pPr>
            <w:r>
              <w:rPr>
                <w:color w:val="auto"/>
                <w:spacing w:val="0"/>
                <w:sz w:val="24"/>
                <w:szCs w:val="24"/>
              </w:rPr>
              <w:t>上述养老保险证明指主要人员在投标人单位(或其上级主管单位或其不具有独立法人资格的分支机构)缴纳社保(缴费截止时间应在投标截止时间前3个月以内)的证明材料，证明材料应体现人员的姓名、身份证号(或社保号)、单位名称、参保时间，并带有社保部门公章或电子印章。</w:t>
            </w:r>
          </w:p>
          <w:p w14:paraId="6AC2082C">
            <w:pPr>
              <w:pStyle w:val="15"/>
              <w:keepNext w:val="0"/>
              <w:keepLines w:val="0"/>
              <w:pageBreakBefore w:val="0"/>
              <w:widowControl w:val="0"/>
              <w:kinsoku/>
              <w:wordWrap/>
              <w:overflowPunct/>
              <w:topLinePunct w:val="0"/>
              <w:autoSpaceDE/>
              <w:autoSpaceDN/>
              <w:bidi w:val="0"/>
              <w:adjustRightInd/>
              <w:snapToGrid/>
              <w:spacing w:line="336" w:lineRule="auto"/>
              <w:ind w:left="0" w:firstLine="425"/>
              <w:textAlignment w:val="auto"/>
              <w:rPr>
                <w:color w:val="auto"/>
                <w:spacing w:val="0"/>
                <w:sz w:val="24"/>
                <w:szCs w:val="24"/>
              </w:rPr>
            </w:pPr>
            <w:r>
              <w:rPr>
                <w:rFonts w:hint="eastAsia"/>
                <w:color w:val="auto"/>
                <w:spacing w:val="0"/>
                <w:sz w:val="24"/>
                <w:szCs w:val="24"/>
                <w:lang w:val="en-US" w:eastAsia="zh-CN"/>
              </w:rPr>
              <w:t>3</w:t>
            </w:r>
            <w:r>
              <w:rPr>
                <w:color w:val="auto"/>
                <w:spacing w:val="0"/>
                <w:sz w:val="24"/>
                <w:szCs w:val="24"/>
              </w:rPr>
              <w:t>.投标人应仔细检查电子投标文件制作系统生成的资格审查资料各项表格中的信息及相关主体信息库超链接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p w14:paraId="294237D7">
            <w:pPr>
              <w:pStyle w:val="15"/>
              <w:keepNext w:val="0"/>
              <w:keepLines w:val="0"/>
              <w:pageBreakBefore w:val="0"/>
              <w:widowControl w:val="0"/>
              <w:kinsoku/>
              <w:wordWrap/>
              <w:overflowPunct/>
              <w:topLinePunct w:val="0"/>
              <w:autoSpaceDE/>
              <w:autoSpaceDN/>
              <w:bidi w:val="0"/>
              <w:adjustRightInd/>
              <w:snapToGrid/>
              <w:spacing w:line="336" w:lineRule="auto"/>
              <w:ind w:left="0" w:right="13" w:firstLine="419"/>
              <w:textAlignment w:val="auto"/>
              <w:rPr>
                <w:color w:val="auto"/>
                <w:spacing w:val="0"/>
                <w:sz w:val="24"/>
                <w:szCs w:val="24"/>
              </w:rPr>
            </w:pPr>
            <w:r>
              <w:rPr>
                <w:rFonts w:hint="eastAsia"/>
                <w:color w:val="auto"/>
                <w:spacing w:val="0"/>
                <w:sz w:val="24"/>
                <w:szCs w:val="24"/>
                <w:lang w:val="en-US" w:eastAsia="zh-CN"/>
              </w:rPr>
              <w:t>4</w:t>
            </w:r>
            <w:r>
              <w:rPr>
                <w:color w:val="auto"/>
                <w:spacing w:val="0"/>
                <w:sz w:val="24"/>
                <w:szCs w:val="24"/>
              </w:rPr>
              <w:t>.主要人员应无在岗项目(指目前未在其他项目上任职，或虽在其他项目上任职但本项目中标后能够从该项目撤离)。如主要人员目前仍在其他项目上任职，则投标人应提供上述人员能够从该项目撤离的书面承诺(格式详见招标文件第九章“投标文件格式”)。本项目按照《辽宁省公路工程施工现场主要人员履约监督管理办法》(辽交公路规〔2025〕3号)规定执行。</w:t>
            </w:r>
          </w:p>
          <w:p w14:paraId="0E44AAEF">
            <w:pPr>
              <w:pStyle w:val="15"/>
              <w:keepNext w:val="0"/>
              <w:keepLines w:val="0"/>
              <w:pageBreakBefore w:val="0"/>
              <w:widowControl w:val="0"/>
              <w:kinsoku/>
              <w:wordWrap/>
              <w:overflowPunct/>
              <w:topLinePunct w:val="0"/>
              <w:autoSpaceDE/>
              <w:autoSpaceDN/>
              <w:bidi w:val="0"/>
              <w:adjustRightInd/>
              <w:snapToGrid/>
              <w:spacing w:line="312" w:lineRule="auto"/>
              <w:ind w:left="0" w:firstLine="429"/>
              <w:jc w:val="both"/>
              <w:textAlignment w:val="auto"/>
              <w:rPr>
                <w:rFonts w:hint="default"/>
                <w:color w:val="auto"/>
                <w:spacing w:val="1"/>
                <w:sz w:val="24"/>
                <w:szCs w:val="24"/>
              </w:rPr>
            </w:pPr>
          </w:p>
        </w:tc>
      </w:tr>
    </w:tbl>
    <w:p w14:paraId="51BBA038">
      <w:pPr>
        <w:pageBreakBefore w:val="0"/>
        <w:kinsoku/>
        <w:wordWrap w:val="0"/>
        <w:bidi w:val="0"/>
        <w:adjustRightInd w:val="0"/>
        <w:snapToGrid w:val="0"/>
        <w:spacing w:line="240" w:lineRule="exact"/>
        <w:rPr>
          <w:rFonts w:hint="default" w:ascii="Times New Roman" w:hAnsi="Times New Roman" w:eastAsia="隶书" w:cs="Times New Roman"/>
          <w:b/>
          <w:bCs/>
          <w:color w:val="auto"/>
          <w:sz w:val="32"/>
          <w:szCs w:val="32"/>
          <w:highlight w:val="none"/>
        </w:rPr>
      </w:pPr>
    </w:p>
    <w:p w14:paraId="210D74D5">
      <w:pPr>
        <w:pageBreakBefore w:val="0"/>
        <w:kinsoku/>
        <w:wordWrap w:val="0"/>
        <w:bidi w:val="0"/>
        <w:adjustRightInd w:val="0"/>
        <w:snapToGrid w:val="0"/>
        <w:spacing w:line="400" w:lineRule="atLeast"/>
        <w:jc w:val="both"/>
        <w:rPr>
          <w:rFonts w:hint="default" w:ascii="Times New Roman" w:hAnsi="Times New Roman" w:eastAsia="黑体" w:cs="Times New Roman"/>
          <w:color w:val="auto"/>
          <w:sz w:val="24"/>
          <w:highlight w:val="none"/>
        </w:rPr>
      </w:pP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DA11">
    <w:pPr>
      <w:pStyle w:val="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86A7C">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986A7C">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52F3">
    <w:pPr>
      <w:pStyle w:val="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F5F7F">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4DF5F7F">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B743B48">
      <w:pPr>
        <w:pStyle w:val="8"/>
        <w:spacing w:line="280" w:lineRule="atLeast"/>
        <w:ind w:left="180" w:hanging="180" w:hangingChars="100"/>
        <w:rPr>
          <w:rFonts w:hint="eastAsia"/>
          <w:szCs w:val="18"/>
        </w:rPr>
      </w:pPr>
      <w:r>
        <w:rPr>
          <w:rStyle w:val="13"/>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51B82020">
      <w:pPr>
        <w:pStyle w:val="8"/>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1">
    <w:p w14:paraId="0151B475">
      <w:pPr>
        <w:pStyle w:val="8"/>
        <w:spacing w:line="280" w:lineRule="atLeast"/>
        <w:ind w:left="180" w:hanging="180" w:hangingChars="100"/>
        <w:rPr>
          <w:szCs w:val="18"/>
        </w:rPr>
      </w:pPr>
      <w:r>
        <w:rPr>
          <w:rStyle w:val="13"/>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2">
    <w:p w14:paraId="4DD45D3E">
      <w:pPr>
        <w:pStyle w:val="8"/>
        <w:spacing w:line="320" w:lineRule="atLeast"/>
        <w:ind w:left="180" w:hanging="180" w:hangingChars="100"/>
        <w:rPr>
          <w:rFonts w:hint="eastAsia"/>
          <w:szCs w:val="18"/>
        </w:rPr>
      </w:pPr>
      <w:r>
        <w:rPr>
          <w:rStyle w:val="13"/>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3">
    <w:p w14:paraId="5A6AD4A0">
      <w:pPr>
        <w:pStyle w:val="8"/>
        <w:snapToGrid/>
        <w:spacing w:line="320" w:lineRule="atLeast"/>
        <w:ind w:left="180" w:hanging="180" w:hangingChars="100"/>
        <w:rPr>
          <w:rFonts w:hint="eastAsia" w:eastAsia="宋体"/>
          <w:szCs w:val="18"/>
          <w:lang w:val="en-US" w:eastAsia="zh-CN"/>
        </w:rPr>
      </w:pPr>
      <w:r>
        <w:rPr>
          <w:rStyle w:val="13"/>
          <w:rFonts w:hint="eastAsia"/>
          <w:szCs w:val="18"/>
        </w:rPr>
        <w:footnoteRef/>
      </w:r>
      <w:r>
        <w:rPr>
          <w:rFonts w:hint="eastAsia"/>
          <w:szCs w:val="18"/>
        </w:rPr>
        <w:t xml:space="preserve"> </w:t>
      </w:r>
      <w:r>
        <w:rPr>
          <w:rFonts w:hint="eastAsia"/>
          <w:szCs w:val="18"/>
          <w:lang w:val="en-US" w:eastAsia="zh-CN"/>
        </w:rPr>
        <w:t>根据《国务院办公厅关于创新完善体制机制推动招标投标市场规范健康发展的意见》（国办发〔2024〕21号）规定，招标人应结合项目特点和需求，明确定标规则。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59B9">
    <w:pPr>
      <w:pStyle w:val="7"/>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DF31">
    <w:pPr>
      <w:pStyle w:val="7"/>
      <w:rPr>
        <w:rFonts w:hint="eastAsia" w:eastAsia="宋体"/>
        <w:lang w:eastAsia="zh-CN"/>
      </w:rPr>
    </w:pPr>
    <w:r>
      <w:rPr>
        <w:rFonts w:hint="eastAsia" w:eastAsia="黑体" w:cs="Times New Roman"/>
        <w:sz w:val="20"/>
        <w:szCs w:val="21"/>
        <w:lang w:eastAsia="zh-CN"/>
      </w:rPr>
      <w:t>辽宁省公路工程标准施工电子招标文件（2025年版）</w:t>
    </w:r>
  </w:p>
  <w:p w14:paraId="0BEA3A4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D5E6E"/>
    <w:multiLevelType w:val="singleLevel"/>
    <w:tmpl w:val="8A6D5E6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A5F9C"/>
    <w:rsid w:val="1CCE7826"/>
    <w:rsid w:val="33381B0C"/>
    <w:rsid w:val="45F150D6"/>
    <w:rsid w:val="4CB1070C"/>
    <w:rsid w:val="5B6B0404"/>
    <w:rsid w:val="5DBF75BC"/>
    <w:rsid w:val="6933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240" w:lineRule="atLeast"/>
      <w:outlineLvl w:val="0"/>
    </w:pPr>
    <w:rPr>
      <w:rFonts w:eastAsia="黑体"/>
      <w:bCs/>
      <w:kern w:val="44"/>
      <w:sz w:val="2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qFormat/>
    <w:uiPriority w:val="0"/>
    <w:rPr>
      <w:rFonts w:ascii="宋体"/>
      <w:sz w:val="24"/>
      <w:szCs w:val="20"/>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9">
    <w:name w:val="Title"/>
    <w:basedOn w:val="1"/>
    <w:link w:val="1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2">
    <w:name w:val="page number"/>
    <w:basedOn w:val="11"/>
    <w:qFormat/>
    <w:uiPriority w:val="0"/>
  </w:style>
  <w:style w:type="character" w:styleId="13">
    <w:name w:val="footnote reference"/>
    <w:qFormat/>
    <w:uiPriority w:val="0"/>
    <w:rPr>
      <w:vertAlign w:val="superscript"/>
    </w:rPr>
  </w:style>
  <w:style w:type="character" w:customStyle="1" w:styleId="14">
    <w:name w:val="标题 Char"/>
    <w:link w:val="9"/>
    <w:qFormat/>
    <w:uiPriority w:val="0"/>
    <w:rPr>
      <w:rFonts w:ascii="Arial" w:hAnsi="Arial"/>
      <w:b/>
      <w:kern w:val="0"/>
      <w:sz w:val="32"/>
      <w:szCs w:val="20"/>
    </w:r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table" w:customStyle="1" w:styleId="16">
    <w:name w:val="Table Normal"/>
    <w:basedOn w:val="10"/>
    <w:semiHidden/>
    <w:unhideWhenUsed/>
    <w:qFormat/>
    <w:uiPriority w:val="0"/>
    <w:tblPr>
      <w:tblCellMar>
        <w:top w:w="0" w:type="dxa"/>
        <w:left w:w="0" w:type="dxa"/>
        <w:bottom w:w="0" w:type="dxa"/>
        <w:right w:w="0" w:type="dxa"/>
      </w:tblCellMar>
    </w:tblPr>
  </w:style>
  <w:style w:type="character" w:customStyle="1" w:styleId="17">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26516</Words>
  <Characters>28172</Characters>
  <Lines>0</Lines>
  <Paragraphs>0</Paragraphs>
  <TotalTime>16</TotalTime>
  <ScaleCrop>false</ScaleCrop>
  <LinksUpToDate>false</LinksUpToDate>
  <CharactersWithSpaces>28937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2026-05-06T01:16:00Z</dcterms:created>
  <dc:creator>Administrator</dc:creator>
  <cp:lastModifiedBy>Administrator</cp:lastModifiedBy>
  <dcterms:modified xsi:type="dcterms:W3CDTF">2026-05-06T05:42:02Z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eyJoZGlkIjoiOTBhNDY5NzUzNzQ5NmU3MGUzYjA0YWVlYTZmZmJhYWEiLCJ1c2VySWQiOiIzMjk0Mzg0NDkifQ==</vt:lpwstr>
  </property>
  <property fmtid="{D5CDD505-2E9C-101B-9397-08002B2CF9AE}" pid="4" name="ICV">
    <vt:lpwstr>542088B1C0654A60AB0DD49E535521EB_12</vt:lpwstr>
  </property>
</Properties>
</file>