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2" w:lineRule="exact"/>
        <w:ind w:left="2185"/>
        <w:rPr>
          <w:rFonts w:hAnsi="Calibri" w:eastAsia="Times New Roman"/>
          <w:color w:val="000000"/>
          <w:sz w:val="42"/>
          <w:szCs w:val="22"/>
        </w:rPr>
      </w:pPr>
      <w:r>
        <w:drawing>
          <wp:anchor distT="0" distB="0" distL="114300" distR="114300" simplePos="0" relativeHeight="251659264" behindDoc="1" locked="0" layoutInCell="1" allowOverlap="1">
            <wp:simplePos x="0" y="0"/>
            <wp:positionH relativeFrom="page">
              <wp:posOffset>996315</wp:posOffset>
            </wp:positionH>
            <wp:positionV relativeFrom="page">
              <wp:posOffset>9246870</wp:posOffset>
            </wp:positionV>
            <wp:extent cx="1854835" cy="31750"/>
            <wp:effectExtent l="0" t="0" r="12065" b="6350"/>
            <wp:wrapNone/>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4"/>
                    <a:stretch>
                      <a:fillRect/>
                    </a:stretch>
                  </pic:blipFill>
                  <pic:spPr>
                    <a:xfrm>
                      <a:off x="0" y="0"/>
                      <a:ext cx="1854835" cy="31750"/>
                    </a:xfrm>
                    <a:prstGeom prst="rect">
                      <a:avLst/>
                    </a:prstGeom>
                    <a:noFill/>
                    <a:ln>
                      <a:noFill/>
                    </a:ln>
                  </pic:spPr>
                </pic:pic>
              </a:graphicData>
            </a:graphic>
          </wp:anchor>
        </w:drawing>
      </w:r>
      <w:r>
        <w:rPr>
          <w:rFonts w:ascii="AUBGKU+é»ä½" w:hAnsi="AUBGKU+é»ä½" w:eastAsia="Times New Roman" w:cs="AUBGKU+é»ä½"/>
          <w:color w:val="000000"/>
          <w:spacing w:val="2"/>
          <w:sz w:val="42"/>
          <w:szCs w:val="22"/>
        </w:rPr>
        <w:t>评标办法：双信封合理低价法</w:t>
      </w:r>
    </w:p>
    <w:p>
      <w:pPr>
        <w:spacing w:before="89" w:line="250" w:lineRule="exact"/>
        <w:ind w:left="562"/>
        <w:rPr>
          <w:rFonts w:hAnsi="Calibri" w:eastAsia="Times New Roman"/>
          <w:color w:val="000000"/>
          <w:szCs w:val="22"/>
        </w:rPr>
      </w:pPr>
      <w:r>
        <w:rPr>
          <w:rFonts w:ascii="AUBGKU+é»ä½" w:hAnsi="AUBGKU+é»ä½" w:eastAsia="Times New Roman" w:cs="AUBGKU+é»ä½"/>
          <w:color w:val="000000"/>
          <w:szCs w:val="22"/>
        </w:rPr>
        <w:t>评标办法前附表</w:t>
      </w:r>
    </w:p>
    <w:p>
      <w:pPr>
        <w:spacing w:line="130" w:lineRule="exact"/>
        <w:ind w:left="2243"/>
        <w:rPr>
          <w:rFonts w:hAnsi="Calibri" w:eastAsia="Times New Roman"/>
          <w:color w:val="000000"/>
          <w:sz w:val="12"/>
          <w:szCs w:val="22"/>
        </w:rPr>
      </w:pPr>
      <w:r>
        <w:rPr>
          <w:rFonts w:ascii="CJCNJB+å®ä½" w:hAnsi="CJCNJB+å®ä½" w:eastAsia="Times New Roman" w:cs="CJCNJB+å®ä½"/>
          <w:color w:val="000000"/>
          <w:sz w:val="12"/>
          <w:szCs w:val="22"/>
        </w:rPr>
        <w:t>①</w:t>
      </w:r>
    </w:p>
    <w:p>
      <w:pPr>
        <w:spacing w:before="557" w:line="231" w:lineRule="exact"/>
        <w:rPr>
          <w:rFonts w:hAnsi="Calibri" w:eastAsia="Times New Roman"/>
          <w:color w:val="000000"/>
          <w:sz w:val="22"/>
          <w:szCs w:val="22"/>
        </w:rPr>
      </w:pPr>
      <w:r>
        <w:drawing>
          <wp:anchor distT="0" distB="0" distL="114300" distR="114300" simplePos="0" relativeHeight="251666432" behindDoc="1" locked="0" layoutInCell="1" allowOverlap="1">
            <wp:simplePos x="0" y="0"/>
            <wp:positionH relativeFrom="page">
              <wp:posOffset>518795</wp:posOffset>
            </wp:positionH>
            <wp:positionV relativeFrom="page">
              <wp:posOffset>1558290</wp:posOffset>
            </wp:positionV>
            <wp:extent cx="6557010" cy="8488045"/>
            <wp:effectExtent l="0" t="0" r="15240" b="8255"/>
            <wp:wrapNone/>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5"/>
                    <a:stretch>
                      <a:fillRect/>
                    </a:stretch>
                  </pic:blipFill>
                  <pic:spPr>
                    <a:xfrm>
                      <a:off x="0" y="0"/>
                      <a:ext cx="6557010" cy="8488045"/>
                    </a:xfrm>
                    <a:prstGeom prst="rect">
                      <a:avLst/>
                    </a:prstGeom>
                    <a:noFill/>
                    <a:ln>
                      <a:noFill/>
                    </a:ln>
                  </pic:spPr>
                </pic:pic>
              </a:graphicData>
            </a:graphic>
          </wp:anchor>
        </w:drawing>
      </w:r>
      <w:r>
        <w:rPr>
          <w:rFonts w:ascii="CJCNJB+å®ä½" w:hAnsi="CJCNJB+å®ä½" w:eastAsia="Times New Roman" w:cs="CJCNJB+å®ä½"/>
          <w:color w:val="000000"/>
          <w:spacing w:val="1"/>
          <w:sz w:val="22"/>
          <w:szCs w:val="22"/>
        </w:rPr>
        <w:t>条款号</w:t>
      </w:r>
      <w:r>
        <w:rPr>
          <w:rFonts w:hint="eastAsia" w:ascii="CJCNJB+å®ä½" w:hAnsi="CJCNJB+å®ä½" w:cs="CJCNJB+å®ä½"/>
          <w:color w:val="000000"/>
          <w:spacing w:val="1"/>
          <w:sz w:val="22"/>
          <w:szCs w:val="22"/>
          <w:lang w:val="en-US" w:eastAsia="zh-CN"/>
        </w:rPr>
        <w:t xml:space="preserve">                                          </w:t>
      </w:r>
      <w:r>
        <w:rPr>
          <w:rFonts w:ascii="CJCNJB+å®ä½" w:hAnsi="CJCNJB+å®ä½" w:eastAsia="Times New Roman" w:cs="CJCNJB+å®ä½"/>
          <w:color w:val="000000"/>
          <w:spacing w:val="1"/>
          <w:sz w:val="22"/>
          <w:szCs w:val="22"/>
        </w:rPr>
        <w:t>评审因素与标准</w:t>
      </w:r>
    </w:p>
    <w:p>
      <w:pPr>
        <w:spacing w:before="161" w:line="221" w:lineRule="exact"/>
        <w:ind w:left="2002"/>
        <w:rPr>
          <w:rFonts w:hAnsi="Calibri" w:eastAsia="Times New Roman"/>
          <w:color w:val="000000"/>
          <w:sz w:val="21"/>
          <w:szCs w:val="22"/>
        </w:rPr>
      </w:pPr>
      <w:r>
        <w:rPr>
          <w:rFonts w:ascii="CJCNJB+å®ä½" w:hAnsi="CJCNJB+å®ä½" w:eastAsia="Times New Roman" w:cs="CJCNJB+å®ä½"/>
          <w:color w:val="000000"/>
          <w:sz w:val="21"/>
          <w:szCs w:val="22"/>
        </w:rPr>
        <w:t>综合评分相等时，评标委员会依次按照以下优先顺序推荐中标候选人或确定中标人：</w:t>
      </w:r>
    </w:p>
    <w:p>
      <w:pPr>
        <w:spacing w:before="293" w:line="360" w:lineRule="auto"/>
        <w:ind w:left="221"/>
        <w:rPr>
          <w:rFonts w:hAnsi="Calibri" w:eastAsia="Times New Roman"/>
          <w:color w:val="000000"/>
          <w:sz w:val="20"/>
          <w:szCs w:val="22"/>
        </w:rPr>
      </w:pPr>
      <w:r>
        <w:rPr>
          <w:rFonts w:ascii="DKLUMU+å®ä½" w:hAnsi="Calibri" w:eastAsia="Times New Roman"/>
          <w:color w:val="000000"/>
          <w:sz w:val="22"/>
          <w:szCs w:val="22"/>
        </w:rPr>
        <w:t>1</w:t>
      </w:r>
      <w:r>
        <w:rPr>
          <w:rFonts w:hint="eastAsia" w:ascii="DKLUMU+å®ä½" w:hAnsi="Calibri"/>
          <w:color w:val="000000"/>
          <w:sz w:val="22"/>
          <w:szCs w:val="22"/>
          <w:lang w:val="en-US" w:eastAsia="zh-CN"/>
        </w:rPr>
        <w:t xml:space="preserve">     评标办法     </w:t>
      </w:r>
      <w:bookmarkStart w:id="0" w:name="_GoBack"/>
      <w:bookmarkEnd w:id="0"/>
      <w:r>
        <w:rPr>
          <w:rFonts w:ascii="CJCNJB+å®ä½" w:hAnsi="CJCNJB+å®ä½" w:eastAsia="Times New Roman" w:cs="CJCNJB+å®ä½"/>
          <w:color w:val="000000"/>
          <w:spacing w:val="1"/>
          <w:sz w:val="21"/>
          <w:szCs w:val="22"/>
        </w:rPr>
        <w:t>（</w:t>
      </w:r>
      <w:r>
        <w:rPr>
          <w:rFonts w:ascii="DKLUMU+å®ä½" w:hAnsi="Calibri" w:eastAsia="Times New Roman"/>
          <w:color w:val="000000"/>
          <w:spacing w:val="1"/>
          <w:sz w:val="21"/>
          <w:szCs w:val="22"/>
        </w:rPr>
        <w:t>1</w:t>
      </w:r>
      <w:r>
        <w:rPr>
          <w:rFonts w:ascii="CJCNJB+å®ä½" w:hAnsi="CJCNJB+å®ä½" w:eastAsia="Times New Roman" w:cs="CJCNJB+å®ä½"/>
          <w:color w:val="000000"/>
          <w:sz w:val="21"/>
          <w:szCs w:val="22"/>
        </w:rPr>
        <w:t>）评标价低的投标人优先；</w:t>
      </w:r>
      <w:r>
        <w:rPr>
          <w:rFonts w:ascii="CJCNJB+å®ä½" w:hAnsi="CJCNJB+å®ä½" w:eastAsia="Times New Roman" w:cs="CJCNJB+å®ä½"/>
          <w:color w:val="000000"/>
          <w:sz w:val="21"/>
          <w:szCs w:val="22"/>
        </w:rPr>
        <w:cr/>
      </w:r>
      <w:r>
        <w:rPr>
          <w:rFonts w:ascii="DKLUMU+å®ä½" w:hAnsi="Calibri" w:eastAsia="Times New Roman"/>
          <w:color w:val="000000"/>
          <w:spacing w:val="486"/>
          <w:sz w:val="22"/>
          <w:szCs w:val="22"/>
        </w:rPr>
        <w:t xml:space="preserve"> </w:t>
      </w:r>
    </w:p>
    <w:p>
      <w:pPr>
        <w:spacing w:before="70" w:line="221" w:lineRule="exact"/>
        <w:ind w:left="2319"/>
        <w:rPr>
          <w:rFonts w:hAnsi="Calibri" w:eastAsia="Times New Roman"/>
          <w:color w:val="000000"/>
          <w:sz w:val="21"/>
          <w:szCs w:val="22"/>
        </w:rPr>
      </w:pPr>
      <w:r>
        <w:rPr>
          <w:rFonts w:ascii="CJCNJB+å®ä½" w:hAnsi="CJCNJB+å®ä½" w:eastAsia="Times New Roman" w:cs="CJCNJB+å®ä½"/>
          <w:color w:val="000000"/>
          <w:spacing w:val="1"/>
          <w:sz w:val="21"/>
          <w:szCs w:val="22"/>
        </w:rPr>
        <w:t>（</w:t>
      </w:r>
      <w:r>
        <w:rPr>
          <w:rFonts w:ascii="DKLUMU+å®ä½" w:hAnsi="Calibri" w:eastAsia="Times New Roman"/>
          <w:color w:val="000000"/>
          <w:spacing w:val="1"/>
          <w:sz w:val="21"/>
          <w:szCs w:val="22"/>
        </w:rPr>
        <w:t>2</w:t>
      </w:r>
      <w:r>
        <w:rPr>
          <w:rFonts w:ascii="CJCNJB+å®ä½" w:hAnsi="CJCNJB+å®ä½" w:eastAsia="Times New Roman" w:cs="CJCNJB+å®ä½"/>
          <w:color w:val="000000"/>
          <w:sz w:val="21"/>
          <w:szCs w:val="22"/>
        </w:rPr>
        <w:t>）被招标项目所在地省级交通运输主管部门评为较高信用等级的投标人优先；</w:t>
      </w:r>
    </w:p>
    <w:p>
      <w:pPr>
        <w:spacing w:before="197" w:line="221" w:lineRule="exact"/>
        <w:ind w:left="2319"/>
        <w:rPr>
          <w:rFonts w:hAnsi="Calibri" w:eastAsia="Times New Roman"/>
          <w:color w:val="000000"/>
          <w:sz w:val="21"/>
          <w:szCs w:val="22"/>
        </w:rPr>
      </w:pPr>
      <w:r>
        <w:rPr>
          <w:rFonts w:ascii="CJCNJB+å®ä½" w:hAnsi="CJCNJB+å®ä½" w:eastAsia="Times New Roman" w:cs="CJCNJB+å®ä½"/>
          <w:color w:val="000000"/>
          <w:spacing w:val="1"/>
          <w:sz w:val="21"/>
          <w:szCs w:val="22"/>
        </w:rPr>
        <w:t>第一个信封（商务及技术文件）评审标准：</w:t>
      </w:r>
    </w:p>
    <w:p>
      <w:pPr>
        <w:spacing w:before="187" w:line="221" w:lineRule="exact"/>
        <w:ind w:left="2319"/>
        <w:rPr>
          <w:rFonts w:hAnsi="Calibri" w:eastAsia="Times New Roman"/>
          <w:color w:val="000000"/>
          <w:sz w:val="21"/>
          <w:szCs w:val="22"/>
        </w:rPr>
      </w:pPr>
      <w:r>
        <w:rPr>
          <w:rFonts w:ascii="CJCNJB+å®ä½" w:hAnsi="CJCNJB+å®ä½" w:eastAsia="Times New Roman" w:cs="CJCNJB+å®ä½"/>
          <w:color w:val="000000"/>
          <w:spacing w:val="1"/>
          <w:sz w:val="21"/>
          <w:szCs w:val="22"/>
        </w:rPr>
        <w:t>（</w:t>
      </w:r>
      <w:r>
        <w:rPr>
          <w:rFonts w:ascii="DKLUMU+å®ä½" w:hAnsi="Calibri" w:eastAsia="Times New Roman"/>
          <w:color w:val="000000"/>
          <w:spacing w:val="1"/>
          <w:sz w:val="21"/>
          <w:szCs w:val="22"/>
        </w:rPr>
        <w:t>1</w:t>
      </w:r>
      <w:r>
        <w:rPr>
          <w:rFonts w:ascii="CJCNJB+å®ä½" w:hAnsi="CJCNJB+å®ä½" w:eastAsia="Times New Roman" w:cs="CJCNJB+å®ä½"/>
          <w:color w:val="000000"/>
          <w:sz w:val="21"/>
          <w:szCs w:val="22"/>
        </w:rPr>
        <w:t>）投标文件按照招标文件规定的格式、内容填写，字迹清晰可辩；</w:t>
      </w:r>
    </w:p>
    <w:p>
      <w:pPr>
        <w:spacing w:before="187" w:line="221" w:lineRule="exact"/>
        <w:ind w:left="2425"/>
        <w:rPr>
          <w:rFonts w:hAnsi="Calibri" w:eastAsia="Times New Roman"/>
          <w:color w:val="000000"/>
          <w:sz w:val="21"/>
          <w:szCs w:val="22"/>
        </w:rPr>
      </w:pPr>
      <w:r>
        <w:rPr>
          <w:rFonts w:ascii="DKLUMU+å®ä½" w:hAnsi="Calibri" w:eastAsia="Times New Roman"/>
          <w:color w:val="000000"/>
          <w:spacing w:val="1"/>
          <w:sz w:val="21"/>
          <w:szCs w:val="22"/>
        </w:rPr>
        <w:t>a.</w:t>
      </w:r>
      <w:r>
        <w:rPr>
          <w:rFonts w:ascii="DKLUMU+å®ä½" w:hAnsi="Calibri" w:eastAsia="Times New Roman"/>
          <w:color w:val="000000"/>
          <w:spacing w:val="10"/>
          <w:sz w:val="21"/>
          <w:szCs w:val="22"/>
        </w:rPr>
        <w:t xml:space="preserve"> </w:t>
      </w:r>
      <w:r>
        <w:rPr>
          <w:rFonts w:ascii="CJCNJB+å®ä½" w:hAnsi="CJCNJB+å®ä½" w:eastAsia="Times New Roman" w:cs="CJCNJB+å®ä½"/>
          <w:color w:val="000000"/>
          <w:spacing w:val="8"/>
          <w:sz w:val="21"/>
          <w:szCs w:val="22"/>
        </w:rPr>
        <w:t>投标函按招标文件规定填报了项目名称、标段号、补遗书编号（如有）、工</w:t>
      </w:r>
    </w:p>
    <w:p>
      <w:pPr>
        <w:spacing w:before="187" w:line="221" w:lineRule="exact"/>
        <w:ind w:left="2002"/>
        <w:rPr>
          <w:rFonts w:hAnsi="Calibri" w:eastAsia="Times New Roman"/>
          <w:color w:val="000000"/>
          <w:sz w:val="21"/>
          <w:szCs w:val="22"/>
        </w:rPr>
      </w:pPr>
      <w:r>
        <w:rPr>
          <w:rFonts w:ascii="CJCNJB+å®ä½" w:hAnsi="CJCNJB+å®ä½" w:eastAsia="Times New Roman" w:cs="CJCNJB+å®ä½"/>
          <w:color w:val="000000"/>
          <w:sz w:val="21"/>
          <w:szCs w:val="22"/>
        </w:rPr>
        <w:t>期、工程质量要求及安全目标；</w:t>
      </w:r>
    </w:p>
    <w:p>
      <w:pPr>
        <w:spacing w:before="187" w:line="221" w:lineRule="exact"/>
        <w:ind w:left="2425"/>
        <w:rPr>
          <w:rFonts w:hAnsi="Calibri" w:eastAsia="Times New Roman"/>
          <w:color w:val="000000"/>
          <w:sz w:val="21"/>
          <w:szCs w:val="22"/>
        </w:rPr>
      </w:pPr>
      <w:r>
        <w:rPr>
          <w:rFonts w:ascii="DKLUMU+å®ä½" w:hAnsi="Calibri" w:eastAsia="Times New Roman"/>
          <w:color w:val="000000"/>
          <w:spacing w:val="1"/>
          <w:sz w:val="21"/>
          <w:szCs w:val="22"/>
        </w:rPr>
        <w:t>b.</w:t>
      </w:r>
      <w:r>
        <w:rPr>
          <w:rFonts w:ascii="CJCNJB+å®ä½" w:hAnsi="CJCNJB+å®ä½" w:eastAsia="Times New Roman" w:cs="CJCNJB+å®ä½"/>
          <w:color w:val="000000"/>
          <w:sz w:val="21"/>
          <w:szCs w:val="22"/>
        </w:rPr>
        <w:t>投标函附录的所有数据均符合招标文件规定；</w:t>
      </w:r>
    </w:p>
    <w:p>
      <w:pPr>
        <w:spacing w:before="187" w:line="221" w:lineRule="exact"/>
        <w:ind w:left="2425"/>
        <w:rPr>
          <w:rFonts w:hAnsi="Calibri" w:eastAsia="Times New Roman"/>
          <w:color w:val="000000"/>
          <w:sz w:val="21"/>
          <w:szCs w:val="22"/>
        </w:rPr>
      </w:pPr>
      <w:r>
        <w:rPr>
          <w:rFonts w:ascii="DKLUMU+å®ä½" w:hAnsi="Calibri" w:eastAsia="Times New Roman"/>
          <w:color w:val="000000"/>
          <w:spacing w:val="1"/>
          <w:sz w:val="21"/>
          <w:szCs w:val="22"/>
        </w:rPr>
        <w:t>c.</w:t>
      </w:r>
      <w:r>
        <w:rPr>
          <w:rFonts w:ascii="CJCNJB+å®ä½" w:hAnsi="CJCNJB+å®ä½" w:eastAsia="Times New Roman" w:cs="CJCNJB+å®ä½"/>
          <w:color w:val="000000"/>
          <w:sz w:val="21"/>
          <w:szCs w:val="22"/>
        </w:rPr>
        <w:t>投标函文字与招标文件规定一致，未进行实质性的修改和删减；</w:t>
      </w:r>
    </w:p>
    <w:p>
      <w:pPr>
        <w:spacing w:before="192" w:line="221" w:lineRule="exact"/>
        <w:ind w:left="2425"/>
        <w:rPr>
          <w:rFonts w:hAnsi="Calibri" w:eastAsia="Times New Roman"/>
          <w:color w:val="000000"/>
          <w:sz w:val="21"/>
          <w:szCs w:val="22"/>
        </w:rPr>
      </w:pPr>
      <w:r>
        <w:rPr>
          <w:rFonts w:ascii="DKLUMU+å®ä½" w:hAnsi="Calibri" w:eastAsia="Times New Roman"/>
          <w:color w:val="000000"/>
          <w:spacing w:val="1"/>
          <w:sz w:val="21"/>
          <w:szCs w:val="22"/>
        </w:rPr>
        <w:t>d.</w:t>
      </w:r>
      <w:r>
        <w:rPr>
          <w:rFonts w:ascii="CJCNJB+å®ä½" w:hAnsi="CJCNJB+å®ä½" w:eastAsia="Times New Roman" w:cs="CJCNJB+å®ä½"/>
          <w:color w:val="000000"/>
          <w:sz w:val="21"/>
          <w:szCs w:val="22"/>
        </w:rPr>
        <w:t>投标文件组成齐全完整，内容均按规定填写。</w:t>
      </w:r>
    </w:p>
    <w:p>
      <w:pPr>
        <w:spacing w:before="187" w:line="221" w:lineRule="exact"/>
        <w:ind w:left="2425"/>
        <w:rPr>
          <w:rFonts w:hAnsi="Calibri" w:eastAsia="Times New Roman"/>
          <w:color w:val="000000"/>
          <w:sz w:val="21"/>
          <w:szCs w:val="22"/>
        </w:rPr>
      </w:pPr>
      <w:r>
        <w:rPr>
          <w:rFonts w:ascii="CJCNJB+å®ä½" w:hAnsi="CJCNJB+å®ä½" w:eastAsia="Times New Roman" w:cs="CJCNJB+å®ä½"/>
          <w:color w:val="000000"/>
          <w:spacing w:val="1"/>
          <w:sz w:val="21"/>
          <w:szCs w:val="22"/>
        </w:rPr>
        <w:t>（</w:t>
      </w:r>
      <w:r>
        <w:rPr>
          <w:rFonts w:ascii="DKLUMU+å®ä½" w:hAnsi="Calibri" w:eastAsia="Times New Roman"/>
          <w:color w:val="000000"/>
          <w:spacing w:val="1"/>
          <w:sz w:val="21"/>
          <w:szCs w:val="22"/>
        </w:rPr>
        <w:t>2</w:t>
      </w:r>
      <w:r>
        <w:rPr>
          <w:rFonts w:ascii="CJCNJB+å®ä½" w:hAnsi="CJCNJB+å®ä½" w:eastAsia="Times New Roman" w:cs="CJCNJB+å®ä½"/>
          <w:color w:val="000000"/>
          <w:spacing w:val="2"/>
          <w:sz w:val="21"/>
          <w:szCs w:val="22"/>
        </w:rPr>
        <w:t>）投标文件上法定代表人或其授权代理人的签字、投标人的单位章盖章齐全，</w:t>
      </w:r>
    </w:p>
    <w:p>
      <w:pPr>
        <w:spacing w:before="187" w:line="221" w:lineRule="exact"/>
        <w:ind w:left="2002"/>
        <w:rPr>
          <w:rFonts w:hAnsi="Calibri" w:eastAsia="Times New Roman"/>
          <w:color w:val="000000"/>
          <w:sz w:val="21"/>
          <w:szCs w:val="22"/>
        </w:rPr>
      </w:pPr>
      <w:r>
        <w:rPr>
          <w:rFonts w:ascii="CJCNJB+å®ä½" w:hAnsi="CJCNJB+å®ä½" w:eastAsia="Times New Roman" w:cs="CJCNJB+å®ä½"/>
          <w:color w:val="000000"/>
          <w:spacing w:val="1"/>
          <w:sz w:val="21"/>
          <w:szCs w:val="22"/>
        </w:rPr>
        <w:t>符合招标文件规定；</w:t>
      </w:r>
    </w:p>
    <w:p>
      <w:pPr>
        <w:spacing w:before="187" w:line="221" w:lineRule="exact"/>
        <w:ind w:left="2319"/>
        <w:rPr>
          <w:rFonts w:hAnsi="Calibri" w:eastAsia="Times New Roman"/>
          <w:color w:val="000000"/>
          <w:sz w:val="21"/>
          <w:szCs w:val="22"/>
        </w:rPr>
      </w:pPr>
      <w:r>
        <w:rPr>
          <w:rFonts w:ascii="CJCNJB+å®ä½" w:hAnsi="CJCNJB+å®ä½" w:eastAsia="Times New Roman" w:cs="CJCNJB+å®ä½"/>
          <w:color w:val="000000"/>
          <w:spacing w:val="1"/>
          <w:sz w:val="21"/>
          <w:szCs w:val="22"/>
        </w:rPr>
        <w:t>（</w:t>
      </w:r>
      <w:r>
        <w:rPr>
          <w:rFonts w:ascii="DKLUMU+å®ä½" w:hAnsi="Calibri" w:eastAsia="Times New Roman"/>
          <w:color w:val="000000"/>
          <w:spacing w:val="1"/>
          <w:sz w:val="21"/>
          <w:szCs w:val="22"/>
        </w:rPr>
        <w:t>3</w:t>
      </w:r>
      <w:r>
        <w:rPr>
          <w:rFonts w:ascii="CJCNJB+å®ä½" w:hAnsi="CJCNJB+å®ä½" w:eastAsia="Times New Roman" w:cs="CJCNJB+å®ä½"/>
          <w:color w:val="000000"/>
          <w:sz w:val="21"/>
          <w:szCs w:val="22"/>
        </w:rPr>
        <w:t>）投标人按照招标文件规定提供了投标保证金：</w:t>
      </w:r>
    </w:p>
    <w:p>
      <w:pPr>
        <w:spacing w:before="187" w:after="125" w:line="221" w:lineRule="exact"/>
        <w:ind w:left="2425"/>
        <w:rPr>
          <w:rFonts w:hAnsi="Calibri" w:eastAsia="Times New Roman"/>
          <w:color w:val="000000"/>
          <w:sz w:val="21"/>
          <w:szCs w:val="22"/>
        </w:rPr>
      </w:pPr>
      <w:r>
        <w:rPr>
          <w:rFonts w:ascii="DKLUMU+å®ä½" w:hAnsi="Calibri" w:eastAsia="Times New Roman"/>
          <w:color w:val="000000"/>
          <w:spacing w:val="3"/>
          <w:sz w:val="21"/>
          <w:szCs w:val="22"/>
        </w:rPr>
        <w:t>a.</w:t>
      </w:r>
      <w:r>
        <w:rPr>
          <w:rFonts w:ascii="CJCNJB+å®ä½" w:hAnsi="CJCNJB+å®ä½" w:eastAsia="Times New Roman" w:cs="CJCNJB+å®ä½"/>
          <w:color w:val="000000"/>
          <w:spacing w:val="5"/>
          <w:sz w:val="21"/>
          <w:szCs w:val="22"/>
        </w:rPr>
        <w:t>投标保证金金额符合招标文件规定的金额，且投标保证金有效期不少于投标有</w:t>
      </w:r>
    </w:p>
    <w:tbl>
      <w:tblPr>
        <w:tblStyle w:val="2"/>
        <w:tblW w:w="0" w:type="auto"/>
        <w:tblInd w:w="0" w:type="dxa"/>
        <w:tblLayout w:type="autofit"/>
        <w:tblCellMar>
          <w:top w:w="0" w:type="dxa"/>
          <w:left w:w="0" w:type="dxa"/>
          <w:bottom w:w="0" w:type="dxa"/>
          <w:right w:w="0" w:type="dxa"/>
        </w:tblCellMar>
      </w:tblPr>
      <w:tblGrid>
        <w:gridCol w:w="868"/>
        <w:gridCol w:w="20"/>
        <w:gridCol w:w="1094"/>
        <w:gridCol w:w="20"/>
        <w:gridCol w:w="7904"/>
      </w:tblGrid>
      <w:tr>
        <w:tblPrEx>
          <w:tblCellMar>
            <w:top w:w="0" w:type="dxa"/>
            <w:left w:w="0" w:type="dxa"/>
            <w:bottom w:w="0" w:type="dxa"/>
            <w:right w:w="0" w:type="dxa"/>
          </w:tblCellMar>
        </w:tblPrEx>
        <w:trPr>
          <w:trHeight w:val="1060" w:hRule="atLeast"/>
        </w:trPr>
        <w:tc>
          <w:tcPr>
            <w:tcW w:w="868" w:type="dxa"/>
            <w:noWrap w:val="0"/>
            <w:vAlign w:val="top"/>
          </w:tcPr>
          <w:p>
            <w:pPr>
              <w:spacing w:before="202" w:line="221" w:lineRule="exact"/>
              <w:rPr>
                <w:rFonts w:ascii="DKLUMU+å®ä½" w:hAnsi="Calibri" w:eastAsia="Times New Roman"/>
                <w:color w:val="000000"/>
                <w:sz w:val="22"/>
                <w:szCs w:val="22"/>
                <w:lang w:eastAsia="en-US"/>
              </w:rPr>
            </w:pPr>
            <w:r>
              <w:rPr>
                <w:rFonts w:ascii="DKLUMU+å®ä½" w:hAnsi="Calibri" w:eastAsia="Times New Roman"/>
                <w:color w:val="000000"/>
                <w:sz w:val="22"/>
                <w:szCs w:val="22"/>
                <w:lang w:eastAsia="en-US"/>
              </w:rPr>
              <w:t>2.1.1</w:t>
            </w:r>
          </w:p>
          <w:p>
            <w:pPr>
              <w:spacing w:before="178" w:line="221" w:lineRule="exact"/>
              <w:rPr>
                <w:rFonts w:ascii="DKLUMU+å®ä½" w:hAnsi="Calibri" w:eastAsia="Times New Roman"/>
                <w:color w:val="000000"/>
                <w:sz w:val="22"/>
                <w:szCs w:val="22"/>
                <w:lang w:eastAsia="en-US"/>
              </w:rPr>
            </w:pPr>
            <w:r>
              <w:rPr>
                <w:rFonts w:ascii="DKLUMU+å®ä½" w:hAnsi="Calibri" w:eastAsia="Times New Roman"/>
                <w:color w:val="000000"/>
                <w:sz w:val="22"/>
                <w:szCs w:val="22"/>
                <w:lang w:eastAsia="en-US"/>
              </w:rPr>
              <w:t>2.1.3</w:t>
            </w:r>
          </w:p>
        </w:tc>
        <w:tc>
          <w:tcPr>
            <w:tcW w:w="20" w:type="dxa"/>
            <w:noWrap w:val="0"/>
            <w:vAlign w:val="top"/>
          </w:tcPr>
          <w:p>
            <w:pPr>
              <w:spacing w:line="0" w:lineRule="atLeast"/>
              <w:rPr>
                <w:rFonts w:ascii="DKLUMU+å®ä½" w:hAnsi="Calibri" w:eastAsia="Times New Roman"/>
                <w:color w:val="000000"/>
                <w:sz w:val="22"/>
                <w:szCs w:val="22"/>
                <w:lang w:eastAsia="en-US"/>
              </w:rPr>
            </w:pPr>
          </w:p>
        </w:tc>
        <w:tc>
          <w:tcPr>
            <w:tcW w:w="1094" w:type="dxa"/>
            <w:noWrap w:val="0"/>
            <w:vAlign w:val="top"/>
          </w:tcPr>
          <w:p>
            <w:pPr>
              <w:spacing w:line="221" w:lineRule="exact"/>
              <w:rPr>
                <w:rFonts w:hAnsi="Calibri" w:eastAsia="Times New Roman"/>
                <w:color w:val="000000"/>
                <w:sz w:val="22"/>
                <w:szCs w:val="22"/>
              </w:rPr>
            </w:pPr>
            <w:r>
              <w:rPr>
                <w:rFonts w:ascii="CJCNJB+å®ä½" w:hAnsi="CJCNJB+å®ä½" w:eastAsia="Times New Roman" w:cs="CJCNJB+å®ä½"/>
                <w:color w:val="000000"/>
                <w:spacing w:val="1"/>
                <w:sz w:val="22"/>
                <w:szCs w:val="22"/>
              </w:rPr>
              <w:t>形式评审</w:t>
            </w:r>
          </w:p>
          <w:p>
            <w:pPr>
              <w:spacing w:before="182" w:line="221" w:lineRule="exact"/>
              <w:rPr>
                <w:rFonts w:hAnsi="Calibri" w:eastAsia="Times New Roman"/>
                <w:color w:val="000000"/>
                <w:sz w:val="22"/>
                <w:szCs w:val="22"/>
              </w:rPr>
            </w:pPr>
            <w:r>
              <w:rPr>
                <w:rFonts w:ascii="CJCNJB+å®ä½" w:hAnsi="CJCNJB+å®ä½" w:eastAsia="Times New Roman" w:cs="CJCNJB+å®ä½"/>
                <w:color w:val="000000"/>
                <w:spacing w:val="1"/>
                <w:sz w:val="22"/>
                <w:szCs w:val="22"/>
              </w:rPr>
              <w:t>与响应性</w:t>
            </w:r>
          </w:p>
          <w:p>
            <w:pPr>
              <w:spacing w:before="178" w:line="221" w:lineRule="exact"/>
              <w:rPr>
                <w:rFonts w:hAnsi="Calibri" w:eastAsia="Times New Roman"/>
                <w:color w:val="000000"/>
                <w:sz w:val="22"/>
                <w:szCs w:val="22"/>
              </w:rPr>
            </w:pPr>
            <w:r>
              <w:rPr>
                <w:rFonts w:ascii="CJCNJB+å®ä½" w:hAnsi="CJCNJB+å®ä½" w:eastAsia="Times New Roman" w:cs="CJCNJB+å®ä½"/>
                <w:color w:val="000000"/>
                <w:spacing w:val="1"/>
                <w:sz w:val="22"/>
                <w:szCs w:val="22"/>
              </w:rPr>
              <w:t>评审标准</w:t>
            </w:r>
          </w:p>
        </w:tc>
        <w:tc>
          <w:tcPr>
            <w:tcW w:w="20" w:type="dxa"/>
            <w:noWrap w:val="0"/>
            <w:vAlign w:val="top"/>
          </w:tcPr>
          <w:p>
            <w:pPr>
              <w:spacing w:line="0" w:lineRule="atLeast"/>
              <w:rPr>
                <w:rFonts w:hAnsi="Calibri" w:eastAsia="Times New Roman"/>
                <w:color w:val="000000"/>
                <w:sz w:val="22"/>
                <w:szCs w:val="22"/>
              </w:rPr>
            </w:pPr>
          </w:p>
        </w:tc>
        <w:tc>
          <w:tcPr>
            <w:tcW w:w="7904" w:type="dxa"/>
            <w:noWrap w:val="0"/>
            <w:vAlign w:val="top"/>
          </w:tcPr>
          <w:p>
            <w:pPr>
              <w:spacing w:before="32" w:line="211" w:lineRule="exact"/>
              <w:rPr>
                <w:rFonts w:hAnsi="Calibri" w:eastAsia="Times New Roman"/>
                <w:color w:val="000000"/>
                <w:sz w:val="21"/>
                <w:szCs w:val="22"/>
              </w:rPr>
            </w:pPr>
            <w:r>
              <w:rPr>
                <w:rFonts w:ascii="CJCNJB+å®ä½" w:hAnsi="CJCNJB+å®ä½" w:eastAsia="Times New Roman" w:cs="CJCNJB+å®ä½"/>
                <w:color w:val="000000"/>
                <w:spacing w:val="1"/>
                <w:sz w:val="21"/>
                <w:szCs w:val="22"/>
              </w:rPr>
              <w:t>效期；</w:t>
            </w:r>
          </w:p>
          <w:p>
            <w:pPr>
              <w:spacing w:before="197" w:line="211" w:lineRule="exact"/>
              <w:ind w:left="476"/>
              <w:rPr>
                <w:rFonts w:hAnsi="Calibri" w:eastAsia="Times New Roman"/>
                <w:color w:val="000000"/>
                <w:sz w:val="21"/>
                <w:szCs w:val="22"/>
              </w:rPr>
            </w:pPr>
            <w:r>
              <w:rPr>
                <w:rFonts w:ascii="DKLUMU+å®ä½" w:hAnsi="Calibri" w:eastAsia="Times New Roman"/>
                <w:color w:val="000000"/>
                <w:spacing w:val="3"/>
                <w:sz w:val="21"/>
                <w:szCs w:val="22"/>
              </w:rPr>
              <w:t>b.</w:t>
            </w:r>
            <w:r>
              <w:rPr>
                <w:rFonts w:ascii="CJCNJB+å®ä½" w:hAnsi="CJCNJB+å®ä½" w:eastAsia="Times New Roman" w:cs="CJCNJB+å®ä½"/>
                <w:color w:val="000000"/>
                <w:spacing w:val="6"/>
                <w:sz w:val="21"/>
                <w:szCs w:val="22"/>
              </w:rPr>
              <w:t>若投标保证金采用电汇形式提交，投标人应在投标人须知前附表规定的时间</w:t>
            </w:r>
          </w:p>
          <w:p>
            <w:pPr>
              <w:spacing w:before="197" w:line="211" w:lineRule="exact"/>
              <w:ind w:left="58"/>
              <w:rPr>
                <w:rFonts w:hAnsi="Calibri" w:eastAsia="Times New Roman"/>
                <w:color w:val="000000"/>
                <w:sz w:val="21"/>
                <w:szCs w:val="22"/>
              </w:rPr>
            </w:pPr>
            <w:r>
              <w:rPr>
                <w:rFonts w:ascii="CJCNJB+å®ä½" w:hAnsi="CJCNJB+å®ä½" w:eastAsia="Times New Roman" w:cs="CJCNJB+å®ä½"/>
                <w:color w:val="000000"/>
                <w:spacing w:val="6"/>
                <w:sz w:val="21"/>
                <w:szCs w:val="22"/>
              </w:rPr>
              <w:t>之前，将投标保证金由投标人的基本账户转入招标人指定账户；投标文件中应提供</w:t>
            </w:r>
          </w:p>
        </w:tc>
      </w:tr>
    </w:tbl>
    <w:p>
      <w:pPr>
        <w:spacing w:before="197" w:line="221" w:lineRule="exact"/>
        <w:ind w:left="2060"/>
        <w:rPr>
          <w:rFonts w:hAnsi="Calibri" w:eastAsia="Times New Roman"/>
          <w:color w:val="000000"/>
          <w:sz w:val="21"/>
          <w:szCs w:val="22"/>
        </w:rPr>
      </w:pPr>
      <w:r>
        <w:rPr>
          <w:rFonts w:ascii="CJCNJB+å®ä½" w:hAnsi="CJCNJB+å®ä½" w:eastAsia="Times New Roman" w:cs="CJCNJB+å®ä½"/>
          <w:color w:val="000000"/>
          <w:sz w:val="21"/>
          <w:szCs w:val="22"/>
        </w:rPr>
        <w:t>投标保证金汇款凭单的彩色影印件；</w:t>
      </w:r>
    </w:p>
    <w:p>
      <w:pPr>
        <w:spacing w:before="192" w:line="221" w:lineRule="exact"/>
        <w:ind w:left="2425"/>
        <w:rPr>
          <w:rFonts w:hAnsi="Calibri" w:eastAsia="Times New Roman"/>
          <w:color w:val="000000"/>
          <w:sz w:val="21"/>
          <w:szCs w:val="22"/>
        </w:rPr>
      </w:pPr>
      <w:r>
        <w:rPr>
          <w:rFonts w:ascii="DKLUMU+å®ä½" w:hAnsi="Calibri" w:eastAsia="Times New Roman"/>
          <w:color w:val="000000"/>
          <w:spacing w:val="1"/>
          <w:sz w:val="21"/>
          <w:szCs w:val="22"/>
        </w:rPr>
        <w:t xml:space="preserve">c. </w:t>
      </w:r>
      <w:r>
        <w:rPr>
          <w:rFonts w:ascii="CJCNJB+å®ä½" w:hAnsi="CJCNJB+å®ä½" w:eastAsia="Times New Roman" w:cs="CJCNJB+å®ä½"/>
          <w:color w:val="000000"/>
          <w:spacing w:val="2"/>
          <w:sz w:val="21"/>
          <w:szCs w:val="22"/>
        </w:rPr>
        <w:t>若投标保证金采用银行保函形式提交，银行保函的格式、有效期均满足招标文</w:t>
      </w:r>
    </w:p>
    <w:p>
      <w:pPr>
        <w:spacing w:before="187" w:line="221" w:lineRule="exact"/>
        <w:ind w:left="2002"/>
        <w:rPr>
          <w:rFonts w:ascii="DKLUMU+å®ä½" w:hAnsi="Calibri" w:eastAsia="Times New Roman"/>
          <w:color w:val="000000"/>
          <w:spacing w:val="-1"/>
          <w:sz w:val="21"/>
          <w:szCs w:val="22"/>
        </w:rPr>
      </w:pPr>
      <w:r>
        <w:rPr>
          <w:rFonts w:ascii="CJCNJB+å®ä½" w:hAnsi="CJCNJB+å®ä½" w:eastAsia="Times New Roman" w:cs="CJCNJB+å®ä½"/>
          <w:color w:val="000000"/>
          <w:spacing w:val="5"/>
          <w:sz w:val="21"/>
          <w:szCs w:val="22"/>
        </w:rPr>
        <w:t>件要求，投标文件中提供了银行保函的彩色影印件，且按投标人须知前附表第</w:t>
      </w:r>
      <w:r>
        <w:rPr>
          <w:rFonts w:ascii="DKLUMU+å®ä½" w:hAnsi="Calibri" w:eastAsia="Times New Roman"/>
          <w:color w:val="000000"/>
          <w:spacing w:val="-1"/>
          <w:sz w:val="21"/>
          <w:szCs w:val="22"/>
        </w:rPr>
        <w:t>3.4.1</w:t>
      </w:r>
    </w:p>
    <w:p>
      <w:pPr>
        <w:spacing w:before="187" w:line="221" w:lineRule="exact"/>
        <w:ind w:left="2002"/>
        <w:rPr>
          <w:rFonts w:hAnsi="Calibri" w:eastAsia="Times New Roman"/>
          <w:color w:val="000000"/>
          <w:sz w:val="21"/>
          <w:szCs w:val="22"/>
        </w:rPr>
      </w:pPr>
      <w:r>
        <w:rPr>
          <w:rFonts w:ascii="CJCNJB+å®ä½" w:hAnsi="CJCNJB+å®ä½" w:eastAsia="Times New Roman" w:cs="CJCNJB+å®ä½"/>
          <w:color w:val="000000"/>
          <w:sz w:val="21"/>
          <w:szCs w:val="22"/>
        </w:rPr>
        <w:t>项规定提交了银行保函原件。</w:t>
      </w:r>
    </w:p>
    <w:p>
      <w:pPr>
        <w:spacing w:before="189" w:line="231" w:lineRule="exact"/>
        <w:ind w:left="2478"/>
        <w:rPr>
          <w:rFonts w:hAnsi="Calibri" w:eastAsia="Times New Roman"/>
          <w:color w:val="000000"/>
          <w:sz w:val="22"/>
          <w:szCs w:val="22"/>
        </w:rPr>
      </w:pPr>
      <w:r>
        <w:rPr>
          <w:rFonts w:ascii="CJCNJB+å®ä½" w:hAnsi="CJCNJB+å®ä½" w:eastAsia="Times New Roman" w:cs="CJCNJB+å®ä½"/>
          <w:color w:val="000000"/>
          <w:spacing w:val="6"/>
          <w:sz w:val="21"/>
          <w:szCs w:val="22"/>
        </w:rPr>
        <w:t>（</w:t>
      </w:r>
      <w:r>
        <w:rPr>
          <w:rFonts w:ascii="DKLUMU+å®ä½" w:hAnsi="Calibri" w:eastAsia="Times New Roman"/>
          <w:color w:val="000000"/>
          <w:spacing w:val="5"/>
          <w:sz w:val="21"/>
          <w:szCs w:val="22"/>
        </w:rPr>
        <w:t>4</w:t>
      </w:r>
      <w:r>
        <w:rPr>
          <w:rFonts w:ascii="CJCNJB+å®ä½" w:hAnsi="CJCNJB+å®ä½" w:eastAsia="Times New Roman" w:cs="CJCNJB+å®ä½"/>
          <w:color w:val="000000"/>
          <w:spacing w:val="6"/>
          <w:sz w:val="21"/>
          <w:szCs w:val="22"/>
        </w:rPr>
        <w:t>）</w:t>
      </w:r>
      <w:r>
        <w:rPr>
          <w:rFonts w:ascii="CJCNJB+å®ä½" w:hAnsi="CJCNJB+å®ä½" w:eastAsia="Times New Roman" w:cs="CJCNJB+å®ä½"/>
          <w:color w:val="000000"/>
          <w:spacing w:val="7"/>
          <w:sz w:val="22"/>
          <w:szCs w:val="22"/>
        </w:rPr>
        <w:t>投标人法定代表人授权委托代理人签署投标文件的，须提交授权委托</w:t>
      </w:r>
    </w:p>
    <w:p>
      <w:pPr>
        <w:spacing w:before="196" w:line="231" w:lineRule="exact"/>
        <w:ind w:left="2060"/>
        <w:rPr>
          <w:rFonts w:hAnsi="Calibri" w:eastAsia="Times New Roman"/>
          <w:color w:val="000000"/>
          <w:sz w:val="22"/>
          <w:szCs w:val="22"/>
        </w:rPr>
      </w:pPr>
      <w:r>
        <w:rPr>
          <w:rFonts w:ascii="CJCNJB+å®ä½" w:hAnsi="CJCNJB+å®ä½" w:eastAsia="Times New Roman" w:cs="CJCNJB+å®ä½"/>
          <w:color w:val="000000"/>
          <w:spacing w:val="2"/>
          <w:sz w:val="22"/>
          <w:szCs w:val="22"/>
        </w:rPr>
        <w:t>书，且授权人和被授权人均在授权委托书上签名，未使用印章、签名章或其他电</w:t>
      </w:r>
    </w:p>
    <w:p>
      <w:pPr>
        <w:spacing w:before="196" w:line="231" w:lineRule="exact"/>
        <w:ind w:left="2060"/>
        <w:rPr>
          <w:rFonts w:hAnsi="Calibri" w:eastAsia="Times New Roman"/>
          <w:color w:val="000000"/>
          <w:sz w:val="21"/>
          <w:szCs w:val="22"/>
        </w:rPr>
      </w:pPr>
      <w:r>
        <w:rPr>
          <w:rFonts w:ascii="CJCNJB+å®ä½" w:hAnsi="CJCNJB+å®ä½" w:eastAsia="Times New Roman" w:cs="CJCNJB+å®ä½"/>
          <w:color w:val="000000"/>
          <w:spacing w:val="1"/>
          <w:sz w:val="22"/>
          <w:szCs w:val="22"/>
        </w:rPr>
        <w:t>子制版签名代替</w:t>
      </w:r>
      <w:r>
        <w:rPr>
          <w:rFonts w:ascii="CJCNJB+å®ä½" w:hAnsi="CJCNJB+å®ä½" w:eastAsia="Times New Roman" w:cs="CJCNJB+å®ä½"/>
          <w:color w:val="000000"/>
          <w:sz w:val="21"/>
          <w:szCs w:val="22"/>
        </w:rPr>
        <w:t>。</w:t>
      </w:r>
    </w:p>
    <w:p>
      <w:pPr>
        <w:spacing w:before="196" w:line="231" w:lineRule="exact"/>
        <w:ind w:left="2425"/>
        <w:rPr>
          <w:rFonts w:hAnsi="Calibri" w:eastAsia="Times New Roman"/>
          <w:color w:val="000000"/>
          <w:sz w:val="22"/>
          <w:szCs w:val="22"/>
        </w:rPr>
      </w:pPr>
      <w:r>
        <w:rPr>
          <w:rFonts w:ascii="CJCNJB+å®ä½" w:hAnsi="CJCNJB+å®ä½" w:eastAsia="Times New Roman" w:cs="CJCNJB+å®ä½"/>
          <w:color w:val="000000"/>
          <w:spacing w:val="6"/>
          <w:sz w:val="21"/>
          <w:szCs w:val="22"/>
        </w:rPr>
        <w:t>（</w:t>
      </w:r>
      <w:r>
        <w:rPr>
          <w:rFonts w:ascii="DKLUMU+å®ä½" w:hAnsi="Calibri" w:eastAsia="Times New Roman"/>
          <w:color w:val="000000"/>
          <w:spacing w:val="5"/>
          <w:sz w:val="21"/>
          <w:szCs w:val="22"/>
        </w:rPr>
        <w:t>5</w:t>
      </w:r>
      <w:r>
        <w:rPr>
          <w:rFonts w:ascii="CJCNJB+å®ä½" w:hAnsi="CJCNJB+å®ä½" w:eastAsia="Times New Roman" w:cs="CJCNJB+å®ä½"/>
          <w:color w:val="000000"/>
          <w:spacing w:val="6"/>
          <w:sz w:val="21"/>
          <w:szCs w:val="22"/>
        </w:rPr>
        <w:t>）</w:t>
      </w:r>
      <w:r>
        <w:rPr>
          <w:rFonts w:ascii="CJCNJB+å®ä½" w:hAnsi="CJCNJB+å®ä½" w:eastAsia="Times New Roman" w:cs="CJCNJB+å®ä½"/>
          <w:color w:val="000000"/>
          <w:spacing w:val="5"/>
          <w:sz w:val="22"/>
          <w:szCs w:val="22"/>
        </w:rPr>
        <w:t>投标人法定代表人亲自签署投标文件的，提供了法定代表人身份证明，</w:t>
      </w:r>
    </w:p>
    <w:p>
      <w:pPr>
        <w:spacing w:before="202" w:line="231" w:lineRule="exact"/>
        <w:ind w:left="2002"/>
        <w:rPr>
          <w:rFonts w:hAnsi="Calibri" w:eastAsia="Times New Roman"/>
          <w:color w:val="000000"/>
          <w:sz w:val="22"/>
          <w:szCs w:val="22"/>
        </w:rPr>
      </w:pPr>
      <w:r>
        <w:rPr>
          <w:rFonts w:ascii="CJCNJB+å®ä½" w:hAnsi="CJCNJB+å®ä½" w:eastAsia="Times New Roman" w:cs="CJCNJB+å®ä½"/>
          <w:color w:val="000000"/>
          <w:spacing w:val="1"/>
          <w:sz w:val="22"/>
          <w:szCs w:val="22"/>
        </w:rPr>
        <w:t>且法定代表人在法定代表人身份证明上签名，未使用印章、签名章或其他电子制版</w:t>
      </w:r>
    </w:p>
    <w:p>
      <w:pPr>
        <w:spacing w:before="196" w:line="231" w:lineRule="exact"/>
        <w:ind w:left="2002"/>
        <w:rPr>
          <w:rFonts w:hAnsi="Calibri" w:eastAsia="Times New Roman"/>
          <w:color w:val="000000"/>
          <w:sz w:val="21"/>
          <w:szCs w:val="22"/>
        </w:rPr>
      </w:pPr>
      <w:r>
        <w:rPr>
          <w:rFonts w:ascii="CJCNJB+å®ä½" w:hAnsi="CJCNJB+å®ä½" w:eastAsia="Times New Roman" w:cs="CJCNJB+å®ä½"/>
          <w:color w:val="000000"/>
          <w:spacing w:val="1"/>
          <w:sz w:val="22"/>
          <w:szCs w:val="22"/>
        </w:rPr>
        <w:t>签名代替</w:t>
      </w:r>
      <w:r>
        <w:rPr>
          <w:rFonts w:ascii="CJCNJB+å®ä½" w:hAnsi="CJCNJB+å®ä½" w:eastAsia="Times New Roman" w:cs="CJCNJB+å®ä½"/>
          <w:color w:val="000000"/>
          <w:sz w:val="21"/>
          <w:szCs w:val="22"/>
        </w:rPr>
        <w:t>。</w:t>
      </w:r>
    </w:p>
    <w:p>
      <w:pPr>
        <w:spacing w:before="724" w:line="192" w:lineRule="exact"/>
        <w:ind w:left="562"/>
        <w:rPr>
          <w:rFonts w:hAnsi="Calibri" w:eastAsia="Times New Roman"/>
          <w:color w:val="000000"/>
          <w:sz w:val="18"/>
          <w:szCs w:val="22"/>
        </w:rPr>
      </w:pPr>
      <w:r>
        <w:rPr>
          <w:rFonts w:ascii="CJCNJB+å®ä½" w:hAnsi="CJCNJB+å®ä½" w:eastAsia="Times New Roman" w:cs="CJCNJB+å®ä½"/>
          <w:color w:val="000000"/>
          <w:sz w:val="9"/>
          <w:szCs w:val="22"/>
        </w:rPr>
        <w:t>①</w:t>
      </w:r>
      <w:r>
        <w:rPr>
          <w:rFonts w:hAnsi="Calibri" w:eastAsia="Times New Roman"/>
          <w:color w:val="000000"/>
          <w:spacing w:val="27"/>
          <w:sz w:val="9"/>
          <w:szCs w:val="22"/>
        </w:rPr>
        <w:t xml:space="preserve"> </w:t>
      </w:r>
      <w:r>
        <w:rPr>
          <w:rFonts w:ascii="CJCNJB+å®ä½" w:hAnsi="CJCNJB+å®ä½" w:eastAsia="Times New Roman" w:cs="CJCNJB+å®ä½"/>
          <w:color w:val="000000"/>
          <w:sz w:val="18"/>
          <w:szCs w:val="22"/>
        </w:rPr>
        <w:t>“评标办法前附表”用于进一步明确正文中的未尽事宜，由招标人根据招标项目具体特点和实际需要编制和</w:t>
      </w:r>
    </w:p>
    <w:p>
      <w:pPr>
        <w:spacing w:before="38" w:line="192" w:lineRule="exact"/>
        <w:ind w:left="562"/>
        <w:rPr>
          <w:rFonts w:hAnsi="Calibri" w:eastAsia="Times New Roman"/>
          <w:color w:val="000000"/>
          <w:sz w:val="18"/>
          <w:szCs w:val="22"/>
        </w:rPr>
      </w:pPr>
      <w:r>
        <w:rPr>
          <w:rFonts w:ascii="CJCNJB+å®ä½" w:hAnsi="CJCNJB+å®ä½" w:eastAsia="Times New Roman" w:cs="CJCNJB+å®ä½"/>
          <w:color w:val="000000"/>
          <w:sz w:val="18"/>
          <w:szCs w:val="22"/>
        </w:rPr>
        <w:t>填写。评标办法前附表是对评标办法正文的补充和细化，应对照评标办法正文中同一编号的条款一起阅读和理</w:t>
      </w:r>
    </w:p>
    <w:p>
      <w:pPr>
        <w:spacing w:before="43" w:line="192" w:lineRule="exact"/>
        <w:ind w:left="562"/>
        <w:rPr>
          <w:rFonts w:ascii="DKLUMU+å®ä½" w:hAnsi="Calibri" w:eastAsia="Times New Roman"/>
          <w:color w:val="000000"/>
          <w:sz w:val="18"/>
          <w:szCs w:val="22"/>
        </w:rPr>
        <w:sectPr>
          <w:pgSz w:w="11900" w:h="16820"/>
          <w:pgMar w:top="1457" w:right="100" w:bottom="0" w:left="1028" w:header="720" w:footer="720" w:gutter="0"/>
          <w:pgNumType w:start="1"/>
          <w:cols w:space="720" w:num="1"/>
          <w:docGrid w:linePitch="1" w:charSpace="0"/>
        </w:sectPr>
      </w:pPr>
      <w:r>
        <w:rPr>
          <w:rFonts w:ascii="CJCNJB+å®ä½" w:hAnsi="CJCNJB+å®ä½" w:eastAsia="Times New Roman" w:cs="CJCNJB+å®ä½"/>
          <w:color w:val="000000"/>
          <w:sz w:val="18"/>
          <w:szCs w:val="22"/>
        </w:rPr>
        <w:t>解。如前附表与正文不一致时，以前附表的规定为准</w:t>
      </w:r>
    </w:p>
    <w:p>
      <w:pPr>
        <w:spacing w:line="231" w:lineRule="exact"/>
        <w:rPr>
          <w:rFonts w:hAnsi="Calibri" w:eastAsia="Times New Roman"/>
          <w:color w:val="000000"/>
          <w:sz w:val="22"/>
          <w:szCs w:val="22"/>
        </w:rPr>
      </w:pPr>
      <w:r>
        <w:drawing>
          <wp:anchor distT="0" distB="0" distL="114300" distR="114300" simplePos="0" relativeHeight="251660288" behindDoc="1" locked="0" layoutInCell="1" allowOverlap="1">
            <wp:simplePos x="0" y="0"/>
            <wp:positionH relativeFrom="page">
              <wp:posOffset>502920</wp:posOffset>
            </wp:positionH>
            <wp:positionV relativeFrom="page">
              <wp:posOffset>875030</wp:posOffset>
            </wp:positionV>
            <wp:extent cx="6763385" cy="8721090"/>
            <wp:effectExtent l="0" t="0" r="18415" b="3810"/>
            <wp:wrapNone/>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6"/>
                    <a:stretch>
                      <a:fillRect/>
                    </a:stretch>
                  </pic:blipFill>
                  <pic:spPr>
                    <a:xfrm>
                      <a:off x="0" y="0"/>
                      <a:ext cx="6763385" cy="8721090"/>
                    </a:xfrm>
                    <a:prstGeom prst="rect">
                      <a:avLst/>
                    </a:prstGeom>
                    <a:noFill/>
                    <a:ln>
                      <a:noFill/>
                    </a:ln>
                  </pic:spPr>
                </pic:pic>
              </a:graphicData>
            </a:graphic>
          </wp:anchor>
        </w:drawing>
      </w:r>
      <w:r>
        <w:rPr>
          <w:rFonts w:ascii="KMKPEE+å®ä½" w:hAnsi="KMKPEE+å®ä½" w:eastAsia="Times New Roman" w:cs="KMKPEE+å®ä½"/>
          <w:color w:val="000000"/>
          <w:spacing w:val="1"/>
          <w:sz w:val="22"/>
          <w:szCs w:val="22"/>
        </w:rPr>
        <w:t>条款号</w:t>
      </w:r>
      <w:r>
        <w:rPr>
          <w:rFonts w:hint="eastAsia" w:ascii="KMKPEE+å®ä½" w:hAnsi="KMKPEE+å®ä½" w:cs="KMKPEE+å®ä½"/>
          <w:color w:val="000000"/>
          <w:spacing w:val="1"/>
          <w:sz w:val="22"/>
          <w:szCs w:val="22"/>
          <w:lang w:val="en-US" w:eastAsia="zh-CN"/>
        </w:rPr>
        <w:t xml:space="preserve">                                      </w:t>
      </w:r>
      <w:r>
        <w:rPr>
          <w:rFonts w:ascii="KMKPEE+å®ä½" w:hAnsi="KMKPEE+å®ä½" w:eastAsia="Times New Roman" w:cs="KMKPEE+å®ä½"/>
          <w:color w:val="000000"/>
          <w:spacing w:val="1"/>
          <w:sz w:val="22"/>
          <w:szCs w:val="22"/>
        </w:rPr>
        <w:t>评审因素与标准</w:t>
      </w:r>
    </w:p>
    <w:p>
      <w:pPr>
        <w:spacing w:before="161" w:line="221" w:lineRule="exact"/>
        <w:ind w:left="1911"/>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6</w:t>
      </w:r>
      <w:r>
        <w:rPr>
          <w:rFonts w:ascii="KMKPEE+å®ä½" w:hAnsi="KMKPEE+å®ä½" w:eastAsia="Times New Roman" w:cs="KMKPEE+å®ä½"/>
          <w:color w:val="000000"/>
          <w:sz w:val="21"/>
          <w:szCs w:val="22"/>
        </w:rPr>
        <w:t>）投标人未以联合体形式进行投标。</w:t>
      </w:r>
    </w:p>
    <w:p>
      <w:pPr>
        <w:spacing w:before="187" w:line="221" w:lineRule="exact"/>
        <w:ind w:left="1911"/>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7</w:t>
      </w:r>
      <w:r>
        <w:rPr>
          <w:rFonts w:ascii="KMKPEE+å®ä½" w:hAnsi="KMKPEE+å®ä½" w:eastAsia="Times New Roman" w:cs="KMKPEE+å®ä½"/>
          <w:color w:val="000000"/>
          <w:sz w:val="21"/>
          <w:szCs w:val="22"/>
        </w:rPr>
        <w:t>）投标人未对本项目进行分包。</w:t>
      </w:r>
    </w:p>
    <w:p>
      <w:pPr>
        <w:spacing w:before="187" w:line="221" w:lineRule="exact"/>
        <w:ind w:left="1911"/>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8</w:t>
      </w:r>
      <w:r>
        <w:rPr>
          <w:rFonts w:ascii="KMKPEE+å®ä½" w:hAnsi="KMKPEE+å®ä½" w:eastAsia="Times New Roman" w:cs="KMKPEE+å®ä½"/>
          <w:color w:val="000000"/>
          <w:sz w:val="21"/>
          <w:szCs w:val="22"/>
        </w:rPr>
        <w:t>）同一投标人未提交两个以上不同的投标文件。</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9</w:t>
      </w:r>
      <w:r>
        <w:rPr>
          <w:rFonts w:ascii="KMKPEE+å®ä½" w:hAnsi="KMKPEE+å®ä½" w:eastAsia="Times New Roman" w:cs="KMKPEE+å®ä½"/>
          <w:color w:val="000000"/>
          <w:sz w:val="21"/>
          <w:szCs w:val="22"/>
        </w:rPr>
        <w:t>）投标文件中未出现有关投标报价的内容。</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10</w:t>
      </w:r>
      <w:r>
        <w:rPr>
          <w:rFonts w:ascii="KMKPEE+å®ä½" w:hAnsi="KMKPEE+å®ä½" w:eastAsia="Times New Roman" w:cs="KMKPEE+å®ä½"/>
          <w:color w:val="000000"/>
          <w:sz w:val="21"/>
          <w:szCs w:val="22"/>
        </w:rPr>
        <w:t>）投标文件载明的招标项目完成期限未超过招标文件规定的时限。</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11</w:t>
      </w:r>
      <w:r>
        <w:rPr>
          <w:rFonts w:ascii="KMKPEE+å®ä½" w:hAnsi="KMKPEE+å®ä½" w:eastAsia="Times New Roman" w:cs="KMKPEE+å®ä½"/>
          <w:color w:val="000000"/>
          <w:sz w:val="21"/>
          <w:szCs w:val="22"/>
        </w:rPr>
        <w:t>）投标文件对招标文件的实质性要求和条件作出响应。</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12</w:t>
      </w:r>
      <w:r>
        <w:rPr>
          <w:rFonts w:ascii="KMKPEE+å®ä½" w:hAnsi="KMKPEE+å®ä½" w:eastAsia="Times New Roman" w:cs="KMKPEE+å®ä½"/>
          <w:color w:val="000000"/>
          <w:sz w:val="21"/>
          <w:szCs w:val="22"/>
        </w:rPr>
        <w:t>）权利义务符合招标文件规定：</w:t>
      </w:r>
    </w:p>
    <w:p>
      <w:pPr>
        <w:spacing w:before="192" w:line="221" w:lineRule="exact"/>
        <w:ind w:left="1964"/>
        <w:rPr>
          <w:rFonts w:hAnsi="Calibri" w:eastAsia="Times New Roman"/>
          <w:color w:val="000000"/>
          <w:sz w:val="21"/>
          <w:szCs w:val="22"/>
        </w:rPr>
      </w:pPr>
      <w:r>
        <w:rPr>
          <w:rFonts w:ascii="AVSFKM+å®ä½" w:hAnsi="Calibri" w:eastAsia="Times New Roman"/>
          <w:color w:val="000000"/>
          <w:spacing w:val="1"/>
          <w:sz w:val="21"/>
          <w:szCs w:val="22"/>
        </w:rPr>
        <w:t>a.</w:t>
      </w:r>
      <w:r>
        <w:rPr>
          <w:rFonts w:ascii="KMKPEE+å®ä½" w:hAnsi="KMKPEE+å®ä½" w:eastAsia="Times New Roman" w:cs="KMKPEE+å®ä½"/>
          <w:color w:val="000000"/>
          <w:sz w:val="21"/>
          <w:szCs w:val="22"/>
        </w:rPr>
        <w:t>投标人应接受招标文件规定的风险划分原则，未提出新的风险划分办法；</w:t>
      </w:r>
    </w:p>
    <w:p>
      <w:pPr>
        <w:spacing w:before="187" w:line="221" w:lineRule="exact"/>
        <w:ind w:left="1964"/>
        <w:rPr>
          <w:rFonts w:hAnsi="Calibri" w:eastAsia="Times New Roman"/>
          <w:color w:val="000000"/>
          <w:sz w:val="21"/>
          <w:szCs w:val="22"/>
        </w:rPr>
      </w:pPr>
      <w:r>
        <w:rPr>
          <w:rFonts w:ascii="AVSFKM+å®ä½" w:hAnsi="Calibri" w:eastAsia="Times New Roman"/>
          <w:color w:val="000000"/>
          <w:spacing w:val="1"/>
          <w:sz w:val="21"/>
          <w:szCs w:val="22"/>
        </w:rPr>
        <w:t>b.</w:t>
      </w:r>
      <w:r>
        <w:rPr>
          <w:rFonts w:ascii="KMKPEE+å®ä½" w:hAnsi="KMKPEE+å®ä½" w:eastAsia="Times New Roman" w:cs="KMKPEE+å®ä½"/>
          <w:color w:val="000000"/>
          <w:sz w:val="21"/>
          <w:szCs w:val="22"/>
        </w:rPr>
        <w:t>投标人未增加委托人的责任范围，或减少投标人义务；</w:t>
      </w:r>
    </w:p>
    <w:p>
      <w:pPr>
        <w:spacing w:before="187" w:line="221" w:lineRule="exact"/>
        <w:ind w:left="1964"/>
        <w:rPr>
          <w:rFonts w:hAnsi="Calibri" w:eastAsia="Times New Roman"/>
          <w:color w:val="000000"/>
          <w:sz w:val="21"/>
          <w:szCs w:val="22"/>
        </w:rPr>
      </w:pPr>
      <w:r>
        <w:rPr>
          <w:rFonts w:ascii="AVSFKM+å®ä½" w:hAnsi="Calibri" w:eastAsia="Times New Roman"/>
          <w:color w:val="000000"/>
          <w:spacing w:val="1"/>
          <w:sz w:val="21"/>
          <w:szCs w:val="22"/>
        </w:rPr>
        <w:t>c.</w:t>
      </w:r>
      <w:r>
        <w:rPr>
          <w:rFonts w:ascii="KMKPEE+å®ä½" w:hAnsi="KMKPEE+å®ä½" w:eastAsia="Times New Roman" w:cs="KMKPEE+å®ä½"/>
          <w:color w:val="000000"/>
          <w:sz w:val="21"/>
          <w:szCs w:val="22"/>
        </w:rPr>
        <w:t>投标人未提出不同的支付办法；</w:t>
      </w:r>
    </w:p>
    <w:p>
      <w:pPr>
        <w:spacing w:before="187" w:line="221" w:lineRule="exact"/>
        <w:ind w:left="1964"/>
        <w:rPr>
          <w:rFonts w:hAnsi="Calibri" w:eastAsia="Times New Roman"/>
          <w:color w:val="000000"/>
          <w:sz w:val="21"/>
          <w:szCs w:val="22"/>
        </w:rPr>
      </w:pPr>
      <w:r>
        <w:rPr>
          <w:rFonts w:ascii="AVSFKM+å®ä½" w:hAnsi="Calibri" w:eastAsia="Times New Roman"/>
          <w:color w:val="000000"/>
          <w:spacing w:val="1"/>
          <w:sz w:val="21"/>
          <w:szCs w:val="22"/>
        </w:rPr>
        <w:t>d.</w:t>
      </w:r>
      <w:r>
        <w:rPr>
          <w:rFonts w:ascii="KMKPEE+å®ä½" w:hAnsi="KMKPEE+å®ä½" w:eastAsia="Times New Roman" w:cs="KMKPEE+å®ä½"/>
          <w:color w:val="000000"/>
          <w:sz w:val="21"/>
          <w:szCs w:val="22"/>
        </w:rPr>
        <w:t>投标人对合同纠纷、事故处理办法未提出异议；</w:t>
      </w:r>
    </w:p>
    <w:p>
      <w:pPr>
        <w:spacing w:before="187" w:line="221" w:lineRule="exact"/>
        <w:ind w:left="1964"/>
        <w:rPr>
          <w:rFonts w:hAnsi="Calibri" w:eastAsia="Times New Roman"/>
          <w:color w:val="000000"/>
          <w:sz w:val="21"/>
          <w:szCs w:val="22"/>
        </w:rPr>
      </w:pPr>
      <w:r>
        <w:rPr>
          <w:rFonts w:ascii="AVSFKM+å®ä½" w:hAnsi="Calibri" w:eastAsia="Times New Roman"/>
          <w:color w:val="000000"/>
          <w:spacing w:val="1"/>
          <w:sz w:val="21"/>
          <w:szCs w:val="22"/>
        </w:rPr>
        <w:t>e.</w:t>
      </w:r>
      <w:r>
        <w:rPr>
          <w:rFonts w:ascii="KMKPEE+å®ä½" w:hAnsi="KMKPEE+å®ä½" w:eastAsia="Times New Roman" w:cs="KMKPEE+å®ä½"/>
          <w:color w:val="000000"/>
          <w:sz w:val="21"/>
          <w:szCs w:val="22"/>
        </w:rPr>
        <w:t>投标人在投标活动中无欺诈行为；</w:t>
      </w:r>
    </w:p>
    <w:p>
      <w:pPr>
        <w:spacing w:before="187" w:line="221" w:lineRule="exact"/>
        <w:ind w:left="1964"/>
        <w:rPr>
          <w:rFonts w:hAnsi="Calibri" w:eastAsia="Times New Roman"/>
          <w:color w:val="000000"/>
          <w:sz w:val="21"/>
          <w:szCs w:val="22"/>
        </w:rPr>
      </w:pPr>
      <w:r>
        <w:rPr>
          <w:rFonts w:ascii="AVSFKM+å®ä½" w:hAnsi="Calibri" w:eastAsia="Times New Roman"/>
          <w:color w:val="000000"/>
          <w:spacing w:val="1"/>
          <w:sz w:val="21"/>
          <w:szCs w:val="22"/>
        </w:rPr>
        <w:t>f.</w:t>
      </w:r>
      <w:r>
        <w:rPr>
          <w:rFonts w:ascii="KMKPEE+å®ä½" w:hAnsi="KMKPEE+å®ä½" w:eastAsia="Times New Roman" w:cs="KMKPEE+å®ä½"/>
          <w:color w:val="000000"/>
          <w:sz w:val="21"/>
          <w:szCs w:val="22"/>
        </w:rPr>
        <w:t>投标人未对合同条款有重要保留。</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13</w:t>
      </w:r>
      <w:r>
        <w:rPr>
          <w:rFonts w:ascii="KMKPEE+å®ä½" w:hAnsi="KMKPEE+å®ä½" w:eastAsia="Times New Roman" w:cs="KMKPEE+å®ä½"/>
          <w:color w:val="000000"/>
          <w:sz w:val="21"/>
          <w:szCs w:val="22"/>
        </w:rPr>
        <w:t>）投标文件符合招标文件第二章“投标人须知”</w:t>
      </w:r>
      <w:r>
        <w:rPr>
          <w:rFonts w:ascii="AVSFKM+å®ä½" w:hAnsi="Calibri" w:eastAsia="Times New Roman"/>
          <w:color w:val="000000"/>
          <w:sz w:val="21"/>
          <w:szCs w:val="22"/>
        </w:rPr>
        <w:t>3.7.4</w:t>
      </w:r>
      <w:r>
        <w:rPr>
          <w:rFonts w:ascii="KMKPEE+å®ä½" w:hAnsi="KMKPEE+å®ä½" w:eastAsia="Times New Roman" w:cs="KMKPEE+å®ä½"/>
          <w:color w:val="000000"/>
          <w:sz w:val="21"/>
          <w:szCs w:val="22"/>
        </w:rPr>
        <w:t>项规定。</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14</w:t>
      </w:r>
      <w:r>
        <w:rPr>
          <w:rFonts w:ascii="KMKPEE+å®ä½" w:hAnsi="KMKPEE+å®ä½" w:eastAsia="Times New Roman" w:cs="KMKPEE+å®ä½"/>
          <w:color w:val="000000"/>
          <w:sz w:val="21"/>
          <w:szCs w:val="22"/>
        </w:rPr>
        <w:t>）投标人提供的不拖欠农民工工资承诺书。</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15</w:t>
      </w:r>
      <w:r>
        <w:rPr>
          <w:rFonts w:ascii="KMKPEE+å®ä½" w:hAnsi="KMKPEE+å®ä½" w:eastAsia="Times New Roman" w:cs="KMKPEE+å®ä½"/>
          <w:color w:val="000000"/>
          <w:sz w:val="21"/>
          <w:szCs w:val="22"/>
        </w:rPr>
        <w:t>）提供有效的投标人告知承诺函。</w:t>
      </w:r>
    </w:p>
    <w:p>
      <w:pPr>
        <w:spacing w:before="192" w:line="221" w:lineRule="exact"/>
        <w:ind w:left="1969"/>
        <w:rPr>
          <w:rFonts w:hAnsi="Calibri" w:eastAsia="Times New Roman"/>
          <w:color w:val="000000"/>
          <w:sz w:val="21"/>
          <w:szCs w:val="22"/>
        </w:rPr>
      </w:pPr>
      <w:r>
        <w:rPr>
          <w:rFonts w:ascii="KMKPEE+å®ä½" w:hAnsi="KMKPEE+å®ä½" w:eastAsia="Times New Roman" w:cs="KMKPEE+å®ä½"/>
          <w:color w:val="000000"/>
          <w:spacing w:val="13"/>
          <w:sz w:val="21"/>
          <w:szCs w:val="22"/>
        </w:rPr>
        <w:t>投标文件未满足以上任一条件的，其投标视为无效，评标委员会将否决其投</w:t>
      </w:r>
    </w:p>
    <w:p>
      <w:pPr>
        <w:spacing w:before="187" w:line="221" w:lineRule="exact"/>
        <w:ind w:left="1546"/>
        <w:rPr>
          <w:rFonts w:hAnsi="Calibri" w:eastAsia="Times New Roman"/>
          <w:color w:val="000000"/>
          <w:sz w:val="21"/>
          <w:szCs w:val="22"/>
        </w:rPr>
      </w:pPr>
      <w:r>
        <w:rPr>
          <w:rFonts w:ascii="KMKPEE+å®ä½" w:hAnsi="KMKPEE+å®ä½" w:eastAsia="Times New Roman" w:cs="KMKPEE+å®ä½"/>
          <w:color w:val="000000"/>
          <w:spacing w:val="2"/>
          <w:sz w:val="21"/>
          <w:szCs w:val="22"/>
        </w:rPr>
        <w:t>标。</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z w:val="21"/>
          <w:szCs w:val="22"/>
        </w:rPr>
        <w:t>第二个信封（报价文件）评审标准：</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6"/>
          <w:sz w:val="21"/>
          <w:szCs w:val="22"/>
        </w:rPr>
        <w:t>（</w:t>
      </w:r>
      <w:r>
        <w:rPr>
          <w:rFonts w:ascii="AVSFKM+å®ä½" w:hAnsi="Calibri" w:eastAsia="Times New Roman"/>
          <w:color w:val="000000"/>
          <w:spacing w:val="1"/>
          <w:sz w:val="21"/>
          <w:szCs w:val="22"/>
        </w:rPr>
        <w:t>1</w:t>
      </w:r>
      <w:r>
        <w:rPr>
          <w:rFonts w:ascii="KMKPEE+å®ä½" w:hAnsi="KMKPEE+å®ä½" w:eastAsia="Times New Roman" w:cs="KMKPEE+å®ä½"/>
          <w:color w:val="000000"/>
          <w:spacing w:val="3"/>
          <w:sz w:val="21"/>
          <w:szCs w:val="22"/>
        </w:rPr>
        <w:t>）投标文件按照招标文件规定的格式、内容填写，字迹清晰可辩，内容齐全</w:t>
      </w:r>
    </w:p>
    <w:p>
      <w:pPr>
        <w:spacing w:before="187" w:line="221" w:lineRule="exact"/>
        <w:ind w:left="1546"/>
        <w:rPr>
          <w:rFonts w:hAnsi="Calibri" w:eastAsia="Times New Roman"/>
          <w:color w:val="000000"/>
          <w:sz w:val="21"/>
          <w:szCs w:val="22"/>
        </w:rPr>
      </w:pPr>
      <w:r>
        <w:rPr>
          <w:rFonts w:ascii="KMKPEE+å®ä½" w:hAnsi="KMKPEE+å®ä½" w:eastAsia="Times New Roman" w:cs="KMKPEE+å®ä½"/>
          <w:color w:val="000000"/>
          <w:spacing w:val="1"/>
          <w:sz w:val="21"/>
          <w:szCs w:val="22"/>
        </w:rPr>
        <w:t>完整；</w:t>
      </w:r>
    </w:p>
    <w:p>
      <w:pPr>
        <w:spacing w:before="187" w:line="221" w:lineRule="exact"/>
        <w:ind w:left="1964"/>
        <w:rPr>
          <w:rFonts w:hAnsi="Calibri" w:eastAsia="Times New Roman"/>
          <w:color w:val="000000"/>
          <w:sz w:val="21"/>
          <w:szCs w:val="22"/>
        </w:rPr>
      </w:pPr>
      <w:r>
        <w:rPr>
          <w:rFonts w:ascii="AVSFKM+å®ä½" w:hAnsi="Calibri" w:eastAsia="Times New Roman"/>
          <w:color w:val="000000"/>
          <w:spacing w:val="3"/>
          <w:sz w:val="21"/>
          <w:szCs w:val="22"/>
        </w:rPr>
        <w:t>a.</w:t>
      </w:r>
      <w:r>
        <w:rPr>
          <w:rFonts w:ascii="KMKPEE+å®ä½" w:hAnsi="KMKPEE+å®ä½" w:eastAsia="Times New Roman" w:cs="KMKPEE+å®ä½"/>
          <w:color w:val="000000"/>
          <w:spacing w:val="6"/>
          <w:sz w:val="21"/>
          <w:szCs w:val="22"/>
        </w:rPr>
        <w:t>投标函按招标文件规定填报了项目名称、补遗书编号（如有）、投标价（包</w:t>
      </w:r>
    </w:p>
    <w:p>
      <w:pPr>
        <w:spacing w:before="187" w:line="221" w:lineRule="exact"/>
        <w:ind w:left="1546"/>
        <w:rPr>
          <w:rFonts w:hAnsi="Calibri" w:eastAsia="Times New Roman"/>
          <w:color w:val="000000"/>
          <w:sz w:val="21"/>
          <w:szCs w:val="22"/>
        </w:rPr>
      </w:pPr>
      <w:r>
        <w:rPr>
          <w:rFonts w:ascii="KMKPEE+å®ä½" w:hAnsi="KMKPEE+å®ä½" w:eastAsia="Times New Roman" w:cs="KMKPEE+å®ä½"/>
          <w:color w:val="000000"/>
          <w:sz w:val="21"/>
          <w:szCs w:val="22"/>
        </w:rPr>
        <w:t>括大写金额和小写金额）；</w:t>
      </w:r>
    </w:p>
    <w:p>
      <w:pPr>
        <w:spacing w:before="187" w:line="221" w:lineRule="exact"/>
        <w:ind w:left="1964"/>
        <w:rPr>
          <w:rFonts w:hAnsi="Calibri" w:eastAsia="Times New Roman"/>
          <w:color w:val="000000"/>
          <w:sz w:val="21"/>
          <w:szCs w:val="22"/>
        </w:rPr>
      </w:pPr>
      <w:r>
        <w:rPr>
          <w:rFonts w:ascii="AVSFKM+å®ä½" w:hAnsi="Calibri" w:eastAsia="Times New Roman"/>
          <w:color w:val="000000"/>
          <w:spacing w:val="3"/>
          <w:sz w:val="21"/>
          <w:szCs w:val="22"/>
        </w:rPr>
        <w:t>b.</w:t>
      </w:r>
      <w:r>
        <w:rPr>
          <w:rFonts w:ascii="KMKPEE+å®ä½" w:hAnsi="KMKPEE+å®ä½" w:eastAsia="Times New Roman" w:cs="KMKPEE+å®ä½"/>
          <w:color w:val="000000"/>
          <w:spacing w:val="6"/>
          <w:sz w:val="21"/>
          <w:szCs w:val="22"/>
        </w:rPr>
        <w:t>投标函、已标价报价清单说明文字与招标文件规定一致，未进行实质性修改</w:t>
      </w:r>
    </w:p>
    <w:p>
      <w:pPr>
        <w:spacing w:before="187" w:line="221" w:lineRule="exact"/>
        <w:ind w:left="1546"/>
        <w:rPr>
          <w:rFonts w:hAnsi="Calibri" w:eastAsia="Times New Roman"/>
          <w:color w:val="000000"/>
          <w:sz w:val="21"/>
          <w:szCs w:val="22"/>
        </w:rPr>
      </w:pPr>
      <w:r>
        <w:rPr>
          <w:rFonts w:ascii="KMKPEE+å®ä½" w:hAnsi="KMKPEE+å®ä½" w:eastAsia="Times New Roman" w:cs="KMKPEE+å®ä½"/>
          <w:color w:val="000000"/>
          <w:spacing w:val="1"/>
          <w:sz w:val="21"/>
          <w:szCs w:val="22"/>
        </w:rPr>
        <w:t>和删减；</w:t>
      </w:r>
    </w:p>
    <w:p>
      <w:pPr>
        <w:spacing w:before="187" w:line="221" w:lineRule="exact"/>
        <w:ind w:left="1964"/>
        <w:rPr>
          <w:rFonts w:hAnsi="Calibri" w:eastAsia="Times New Roman"/>
          <w:color w:val="000000"/>
          <w:sz w:val="21"/>
          <w:szCs w:val="22"/>
        </w:rPr>
      </w:pPr>
      <w:r>
        <w:rPr>
          <w:rFonts w:ascii="AVSFKM+å®ä½" w:hAnsi="Calibri" w:eastAsia="Times New Roman"/>
          <w:color w:val="000000"/>
          <w:spacing w:val="1"/>
          <w:sz w:val="21"/>
          <w:szCs w:val="22"/>
        </w:rPr>
        <w:t>c.</w:t>
      </w:r>
      <w:r>
        <w:rPr>
          <w:rFonts w:ascii="KMKPEE+å®ä½" w:hAnsi="KMKPEE+å®ä½" w:eastAsia="Times New Roman" w:cs="KMKPEE+å®ä½"/>
          <w:color w:val="000000"/>
          <w:sz w:val="21"/>
          <w:szCs w:val="22"/>
        </w:rPr>
        <w:t>投标文件组成齐全完整，内容均按规定填写。</w:t>
      </w:r>
    </w:p>
    <w:p>
      <w:pPr>
        <w:spacing w:before="192" w:line="221" w:lineRule="exact"/>
        <w:ind w:left="1964"/>
        <w:rPr>
          <w:rFonts w:hAnsi="Calibri" w:eastAsia="Times New Roman"/>
          <w:color w:val="000000"/>
          <w:sz w:val="21"/>
          <w:szCs w:val="22"/>
        </w:rPr>
      </w:pPr>
      <w:r>
        <w:rPr>
          <w:rFonts w:ascii="KMKPEE+å®ä½" w:hAnsi="KMKPEE+å®ä½" w:eastAsia="Times New Roman" w:cs="KMKPEE+å®ä½"/>
          <w:color w:val="000000"/>
          <w:spacing w:val="6"/>
          <w:sz w:val="21"/>
          <w:szCs w:val="22"/>
        </w:rPr>
        <w:t>（</w:t>
      </w:r>
      <w:r>
        <w:rPr>
          <w:rFonts w:ascii="AVSFKM+å®ä½" w:hAnsi="Calibri" w:eastAsia="Times New Roman"/>
          <w:color w:val="000000"/>
          <w:spacing w:val="1"/>
          <w:sz w:val="21"/>
          <w:szCs w:val="22"/>
        </w:rPr>
        <w:t>2</w:t>
      </w:r>
      <w:r>
        <w:rPr>
          <w:rFonts w:ascii="KMKPEE+å®ä½" w:hAnsi="KMKPEE+å®ä½" w:eastAsia="Times New Roman" w:cs="KMKPEE+å®ä½"/>
          <w:color w:val="000000"/>
          <w:spacing w:val="3"/>
          <w:sz w:val="21"/>
          <w:szCs w:val="22"/>
        </w:rPr>
        <w:t>）投标文件上法定代表人或其委托代理人的签字、投标人的单位公章盖章齐</w:t>
      </w:r>
    </w:p>
    <w:p>
      <w:pPr>
        <w:spacing w:before="187" w:line="221" w:lineRule="exact"/>
        <w:ind w:left="1546"/>
        <w:rPr>
          <w:rFonts w:hAnsi="Calibri" w:eastAsia="Times New Roman"/>
          <w:color w:val="000000"/>
          <w:sz w:val="21"/>
          <w:szCs w:val="22"/>
        </w:rPr>
      </w:pPr>
      <w:r>
        <w:rPr>
          <w:rFonts w:ascii="KMKPEE+å®ä½" w:hAnsi="KMKPEE+å®ä½" w:eastAsia="Times New Roman" w:cs="KMKPEE+å®ä½"/>
          <w:color w:val="000000"/>
          <w:sz w:val="21"/>
          <w:szCs w:val="22"/>
        </w:rPr>
        <w:t>全，符合招标文件规定。</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3</w:t>
      </w:r>
      <w:r>
        <w:rPr>
          <w:rFonts w:ascii="KMKPEE+å®ä½" w:hAnsi="KMKPEE+å®ä½" w:eastAsia="Times New Roman" w:cs="KMKPEE+å®ä½"/>
          <w:color w:val="000000"/>
          <w:sz w:val="21"/>
          <w:szCs w:val="22"/>
        </w:rPr>
        <w:t>）投标报价中的报价未超过招标文件设定的最高投标限价。</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4</w:t>
      </w:r>
      <w:r>
        <w:rPr>
          <w:rFonts w:ascii="KMKPEE+å®ä½" w:hAnsi="KMKPEE+å®ä½" w:eastAsia="Times New Roman" w:cs="KMKPEE+å®ä½"/>
          <w:color w:val="000000"/>
          <w:sz w:val="21"/>
          <w:szCs w:val="22"/>
        </w:rPr>
        <w:t>）投标报价的大写金额能够确定具体数值。</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1"/>
          <w:sz w:val="21"/>
          <w:szCs w:val="22"/>
        </w:rPr>
        <w:t>（</w:t>
      </w:r>
      <w:r>
        <w:rPr>
          <w:rFonts w:ascii="AVSFKM+å®ä½" w:hAnsi="Calibri" w:eastAsia="Times New Roman"/>
          <w:color w:val="000000"/>
          <w:spacing w:val="1"/>
          <w:sz w:val="21"/>
          <w:szCs w:val="22"/>
        </w:rPr>
        <w:t>5</w:t>
      </w:r>
      <w:r>
        <w:rPr>
          <w:rFonts w:ascii="KMKPEE+å®ä½" w:hAnsi="KMKPEE+å®ä½" w:eastAsia="Times New Roman" w:cs="KMKPEE+å®ä½"/>
          <w:color w:val="000000"/>
          <w:sz w:val="21"/>
          <w:szCs w:val="22"/>
        </w:rPr>
        <w:t>）同一投标人未提交两个以上不同的投标报价。</w:t>
      </w:r>
    </w:p>
    <w:p>
      <w:pPr>
        <w:spacing w:before="187" w:line="221" w:lineRule="exact"/>
        <w:ind w:left="1964"/>
        <w:rPr>
          <w:rFonts w:hAnsi="Calibri" w:eastAsia="Times New Roman"/>
          <w:color w:val="000000"/>
          <w:sz w:val="21"/>
          <w:szCs w:val="22"/>
        </w:rPr>
      </w:pPr>
      <w:r>
        <w:rPr>
          <w:rFonts w:ascii="KMKPEE+å®ä½" w:hAnsi="KMKPEE+å®ä½" w:eastAsia="Times New Roman" w:cs="KMKPEE+å®ä½"/>
          <w:color w:val="000000"/>
          <w:spacing w:val="6"/>
          <w:sz w:val="21"/>
          <w:szCs w:val="22"/>
        </w:rPr>
        <w:t>（</w:t>
      </w:r>
      <w:r>
        <w:rPr>
          <w:rFonts w:ascii="AVSFKM+å®ä½" w:hAnsi="Calibri" w:eastAsia="Times New Roman"/>
          <w:color w:val="000000"/>
          <w:spacing w:val="1"/>
          <w:sz w:val="21"/>
          <w:szCs w:val="22"/>
        </w:rPr>
        <w:t>6</w:t>
      </w:r>
      <w:r>
        <w:rPr>
          <w:rFonts w:ascii="KMKPEE+å®ä½" w:hAnsi="KMKPEE+å®ä½" w:eastAsia="Times New Roman" w:cs="KMKPEE+å®ä½"/>
          <w:color w:val="000000"/>
          <w:spacing w:val="3"/>
          <w:sz w:val="21"/>
          <w:szCs w:val="22"/>
        </w:rPr>
        <w:t>）投标人填写工程量固化清单，填写完毕的工程量固化清单未对工程量固化</w:t>
      </w:r>
    </w:p>
    <w:p>
      <w:pPr>
        <w:spacing w:before="946" w:line="192" w:lineRule="exact"/>
        <w:ind w:left="4327"/>
        <w:rPr>
          <w:rFonts w:ascii="AVSFKM+å®ä½" w:hAnsi="Calibri" w:eastAsia="Times New Roman"/>
          <w:color w:val="000000"/>
          <w:sz w:val="18"/>
          <w:szCs w:val="22"/>
        </w:rPr>
        <w:sectPr>
          <w:pgSz w:w="11900" w:h="16820"/>
          <w:pgMar w:top="1635" w:right="100" w:bottom="0" w:left="1541" w:header="720" w:footer="720" w:gutter="0"/>
          <w:pgNumType w:start="1"/>
          <w:cols w:space="720" w:num="1"/>
          <w:docGrid w:linePitch="1" w:charSpace="0"/>
        </w:sectPr>
      </w:pPr>
    </w:p>
    <w:p>
      <w:pPr>
        <w:spacing w:line="231" w:lineRule="exact"/>
        <w:rPr>
          <w:rFonts w:hAnsi="Calibri" w:eastAsia="Times New Roman"/>
          <w:color w:val="000000"/>
          <w:sz w:val="22"/>
          <w:szCs w:val="22"/>
        </w:rPr>
      </w:pPr>
      <w:r>
        <w:drawing>
          <wp:anchor distT="0" distB="0" distL="114300" distR="114300" simplePos="0" relativeHeight="251661312" behindDoc="1" locked="0" layoutInCell="1" allowOverlap="1">
            <wp:simplePos x="0" y="0"/>
            <wp:positionH relativeFrom="page">
              <wp:posOffset>502920</wp:posOffset>
            </wp:positionH>
            <wp:positionV relativeFrom="page">
              <wp:posOffset>875030</wp:posOffset>
            </wp:positionV>
            <wp:extent cx="6557010" cy="8943340"/>
            <wp:effectExtent l="0" t="0" r="15240" b="10160"/>
            <wp:wrapNone/>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7"/>
                    <a:stretch>
                      <a:fillRect/>
                    </a:stretch>
                  </pic:blipFill>
                  <pic:spPr>
                    <a:xfrm>
                      <a:off x="0" y="0"/>
                      <a:ext cx="6557010" cy="8943340"/>
                    </a:xfrm>
                    <a:prstGeom prst="rect">
                      <a:avLst/>
                    </a:prstGeom>
                    <a:noFill/>
                    <a:ln>
                      <a:noFill/>
                    </a:ln>
                  </pic:spPr>
                </pic:pic>
              </a:graphicData>
            </a:graphic>
          </wp:anchor>
        </w:drawing>
      </w:r>
      <w:r>
        <w:rPr>
          <w:rFonts w:ascii="EHEDNR+å®ä½" w:hAnsi="EHEDNR+å®ä½" w:eastAsia="Times New Roman" w:cs="EHEDNR+å®ä½"/>
          <w:color w:val="000000"/>
          <w:spacing w:val="1"/>
          <w:sz w:val="22"/>
          <w:szCs w:val="22"/>
        </w:rPr>
        <w:t>条款号</w:t>
      </w:r>
      <w:r>
        <w:rPr>
          <w:rFonts w:hint="eastAsia" w:ascii="EHEDNR+å®ä½" w:hAnsi="EHEDNR+å®ä½" w:cs="EHEDNR+å®ä½"/>
          <w:color w:val="000000"/>
          <w:spacing w:val="1"/>
          <w:sz w:val="22"/>
          <w:szCs w:val="22"/>
          <w:lang w:val="en-US" w:eastAsia="zh-CN"/>
        </w:rPr>
        <w:t xml:space="preserve">                                    </w:t>
      </w:r>
      <w:r>
        <w:rPr>
          <w:rFonts w:ascii="EHEDNR+å®ä½" w:hAnsi="EHEDNR+å®ä½" w:eastAsia="Times New Roman" w:cs="EHEDNR+å®ä½"/>
          <w:color w:val="000000"/>
          <w:spacing w:val="1"/>
          <w:sz w:val="22"/>
          <w:szCs w:val="22"/>
        </w:rPr>
        <w:t>评审因素与标准</w:t>
      </w:r>
    </w:p>
    <w:p>
      <w:pPr>
        <w:spacing w:before="161" w:line="221" w:lineRule="exact"/>
        <w:ind w:left="2156"/>
        <w:rPr>
          <w:rFonts w:hAnsi="Calibri" w:eastAsia="Times New Roman"/>
          <w:color w:val="000000"/>
          <w:sz w:val="21"/>
          <w:szCs w:val="22"/>
        </w:rPr>
      </w:pPr>
      <w:r>
        <w:rPr>
          <w:rFonts w:ascii="EHEDNR+å®ä½" w:hAnsi="EHEDNR+å®ä½" w:eastAsia="Times New Roman" w:cs="EHEDNR+å®ä½"/>
          <w:color w:val="000000"/>
          <w:spacing w:val="6"/>
          <w:sz w:val="21"/>
          <w:szCs w:val="22"/>
        </w:rPr>
        <w:t>清单电子文件中的数据、格式和运算定义进行修改；工程量固化清单中投标报价和</w:t>
      </w:r>
    </w:p>
    <w:p>
      <w:pPr>
        <w:spacing w:before="187" w:line="221" w:lineRule="exact"/>
        <w:ind w:left="2156"/>
        <w:rPr>
          <w:rFonts w:hAnsi="Calibri" w:eastAsia="Times New Roman"/>
          <w:color w:val="000000"/>
          <w:sz w:val="21"/>
          <w:szCs w:val="22"/>
        </w:rPr>
      </w:pPr>
      <w:r>
        <w:rPr>
          <w:rFonts w:ascii="EHEDNR+å®ä½" w:hAnsi="EHEDNR+å®ä½" w:eastAsia="Times New Roman" w:cs="EHEDNR+å®ä½"/>
          <w:color w:val="000000"/>
          <w:sz w:val="21"/>
          <w:szCs w:val="22"/>
        </w:rPr>
        <w:t>投标函大写金额报价一致。</w:t>
      </w:r>
    </w:p>
    <w:p>
      <w:pPr>
        <w:spacing w:before="187" w:line="221" w:lineRule="exact"/>
        <w:ind w:left="2574"/>
        <w:rPr>
          <w:rFonts w:hAnsi="Calibri" w:eastAsia="Times New Roman"/>
          <w:color w:val="000000"/>
          <w:sz w:val="21"/>
          <w:szCs w:val="22"/>
        </w:rPr>
      </w:pPr>
      <w:r>
        <w:rPr>
          <w:rFonts w:ascii="EHEDNR+å®ä½" w:hAnsi="EHEDNR+å®ä½" w:eastAsia="Times New Roman" w:cs="EHEDNR+å®ä½"/>
          <w:color w:val="000000"/>
          <w:spacing w:val="1"/>
          <w:sz w:val="21"/>
          <w:szCs w:val="22"/>
        </w:rPr>
        <w:t>（</w:t>
      </w:r>
      <w:r>
        <w:rPr>
          <w:rFonts w:ascii="GSUBJR+å®ä½" w:hAnsi="Calibri" w:eastAsia="Times New Roman"/>
          <w:color w:val="000000"/>
          <w:spacing w:val="1"/>
          <w:sz w:val="21"/>
          <w:szCs w:val="22"/>
        </w:rPr>
        <w:t>7</w:t>
      </w:r>
      <w:r>
        <w:rPr>
          <w:rFonts w:ascii="EHEDNR+å®ä½" w:hAnsi="EHEDNR+å®ä½" w:eastAsia="Times New Roman" w:cs="EHEDNR+å®ä½"/>
          <w:color w:val="000000"/>
          <w:sz w:val="21"/>
          <w:szCs w:val="22"/>
        </w:rPr>
        <w:t>）投标文件符合招标文件第二章“投标人须知”第</w:t>
      </w:r>
      <w:r>
        <w:rPr>
          <w:rFonts w:hAnsi="Calibri" w:eastAsia="Times New Roman"/>
          <w:color w:val="000000"/>
          <w:spacing w:val="4"/>
          <w:sz w:val="21"/>
          <w:szCs w:val="22"/>
        </w:rPr>
        <w:t xml:space="preserve"> </w:t>
      </w:r>
      <w:r>
        <w:rPr>
          <w:rFonts w:ascii="GSUBJR+å®ä½" w:hAnsi="Calibri" w:eastAsia="Times New Roman"/>
          <w:color w:val="000000"/>
          <w:sz w:val="21"/>
          <w:szCs w:val="22"/>
        </w:rPr>
        <w:t>3.7.4</w:t>
      </w:r>
      <w:r>
        <w:rPr>
          <w:rFonts w:ascii="EHEDNR+å®ä½" w:hAnsi="EHEDNR+å®ä½" w:eastAsia="Times New Roman" w:cs="EHEDNR+å®ä½"/>
          <w:color w:val="000000"/>
          <w:sz w:val="21"/>
          <w:szCs w:val="22"/>
        </w:rPr>
        <w:t>项规定。</w:t>
      </w:r>
    </w:p>
    <w:p>
      <w:pPr>
        <w:spacing w:before="188" w:line="231" w:lineRule="exact"/>
        <w:ind w:left="2540"/>
        <w:rPr>
          <w:rFonts w:hAnsi="Calibri" w:eastAsia="Times New Roman"/>
          <w:color w:val="000000"/>
          <w:sz w:val="22"/>
          <w:szCs w:val="22"/>
        </w:rPr>
      </w:pPr>
      <w:r>
        <w:rPr>
          <w:rFonts w:ascii="EHEDNR+å®ä½" w:hAnsi="EHEDNR+å®ä½" w:eastAsia="Times New Roman" w:cs="EHEDNR+å®ä½"/>
          <w:color w:val="000000"/>
          <w:spacing w:val="1"/>
          <w:sz w:val="22"/>
          <w:szCs w:val="22"/>
        </w:rPr>
        <w:t>投标文件未满足以上任一条件的，其投标视为无效，评标委员会将否决其投</w:t>
      </w:r>
    </w:p>
    <w:p>
      <w:pPr>
        <w:spacing w:before="196" w:line="231" w:lineRule="exact"/>
        <w:ind w:left="2098"/>
        <w:rPr>
          <w:rFonts w:hAnsi="Calibri" w:eastAsia="Times New Roman"/>
          <w:color w:val="000000"/>
          <w:sz w:val="22"/>
          <w:szCs w:val="22"/>
        </w:rPr>
      </w:pPr>
      <w:r>
        <w:rPr>
          <w:rFonts w:ascii="EHEDNR+å®ä½" w:hAnsi="EHEDNR+å®ä½" w:eastAsia="Times New Roman" w:cs="EHEDNR+å®ä½"/>
          <w:color w:val="000000"/>
          <w:spacing w:val="1"/>
          <w:sz w:val="22"/>
          <w:szCs w:val="22"/>
        </w:rPr>
        <w:t>标。</w:t>
      </w:r>
    </w:p>
    <w:p>
      <w:pPr>
        <w:spacing w:before="209" w:line="221" w:lineRule="exact"/>
        <w:ind w:left="2574"/>
        <w:rPr>
          <w:rFonts w:hAnsi="Calibri" w:eastAsia="Times New Roman"/>
          <w:color w:val="000000"/>
          <w:sz w:val="21"/>
          <w:szCs w:val="22"/>
        </w:rPr>
      </w:pPr>
      <w:r>
        <w:rPr>
          <w:rFonts w:ascii="EHEDNR+å®ä½" w:hAnsi="EHEDNR+å®ä½" w:eastAsia="Times New Roman" w:cs="EHEDNR+å®ä½"/>
          <w:color w:val="000000"/>
          <w:spacing w:val="6"/>
          <w:sz w:val="21"/>
          <w:szCs w:val="22"/>
        </w:rPr>
        <w:t>（</w:t>
      </w:r>
      <w:r>
        <w:rPr>
          <w:rFonts w:ascii="GSUBJR+å®ä½" w:hAnsi="Calibri" w:eastAsia="Times New Roman"/>
          <w:color w:val="000000"/>
          <w:spacing w:val="1"/>
          <w:sz w:val="21"/>
          <w:szCs w:val="22"/>
        </w:rPr>
        <w:t>1</w:t>
      </w:r>
      <w:r>
        <w:rPr>
          <w:rFonts w:ascii="EHEDNR+å®ä½" w:hAnsi="EHEDNR+å®ä½" w:eastAsia="Times New Roman" w:cs="EHEDNR+å®ä½"/>
          <w:color w:val="000000"/>
          <w:spacing w:val="3"/>
          <w:sz w:val="21"/>
          <w:szCs w:val="22"/>
        </w:rPr>
        <w:t>）投标人具备有效的营业执照、资质证书、安全生产许可证和基本账户开户</w:t>
      </w:r>
    </w:p>
    <w:p>
      <w:pPr>
        <w:spacing w:before="187" w:line="221" w:lineRule="exact"/>
        <w:ind w:left="2156"/>
        <w:rPr>
          <w:rFonts w:hAnsi="Calibri" w:eastAsia="Times New Roman"/>
          <w:color w:val="000000"/>
          <w:sz w:val="21"/>
          <w:szCs w:val="22"/>
        </w:rPr>
      </w:pPr>
      <w:r>
        <w:rPr>
          <w:rFonts w:ascii="EHEDNR+å®ä½" w:hAnsi="EHEDNR+å®ä½" w:eastAsia="Times New Roman" w:cs="EHEDNR+å®ä½"/>
          <w:color w:val="000000"/>
          <w:sz w:val="21"/>
          <w:szCs w:val="22"/>
        </w:rPr>
        <w:t>许可证（或由基本账户开户银行出具的基本账户信息证明材料）。</w:t>
      </w:r>
    </w:p>
    <w:p>
      <w:pPr>
        <w:spacing w:before="187" w:line="221" w:lineRule="exact"/>
        <w:ind w:left="2574"/>
        <w:rPr>
          <w:rFonts w:hAnsi="Calibri" w:eastAsia="Times New Roman"/>
          <w:color w:val="000000"/>
          <w:sz w:val="21"/>
          <w:szCs w:val="22"/>
        </w:rPr>
      </w:pPr>
      <w:r>
        <w:rPr>
          <w:rFonts w:ascii="EHEDNR+å®ä½" w:hAnsi="EHEDNR+å®ä½" w:eastAsia="Times New Roman" w:cs="EHEDNR+å®ä½"/>
          <w:color w:val="000000"/>
          <w:spacing w:val="1"/>
          <w:sz w:val="21"/>
          <w:szCs w:val="22"/>
        </w:rPr>
        <w:t>（</w:t>
      </w:r>
      <w:r>
        <w:rPr>
          <w:rFonts w:ascii="GSUBJR+å®ä½" w:hAnsi="Calibri" w:eastAsia="Times New Roman"/>
          <w:color w:val="000000"/>
          <w:spacing w:val="1"/>
          <w:sz w:val="21"/>
          <w:szCs w:val="22"/>
        </w:rPr>
        <w:t>2</w:t>
      </w:r>
      <w:r>
        <w:rPr>
          <w:rFonts w:ascii="EHEDNR+å®ä½" w:hAnsi="EHEDNR+å®ä½" w:eastAsia="Times New Roman" w:cs="EHEDNR+å®ä½"/>
          <w:color w:val="000000"/>
          <w:sz w:val="21"/>
          <w:szCs w:val="22"/>
        </w:rPr>
        <w:t>）投标人的资质等级符合招标文件中投标人须知前附表附录</w:t>
      </w:r>
      <w:r>
        <w:rPr>
          <w:rFonts w:hAnsi="Calibri" w:eastAsia="Times New Roman"/>
          <w:color w:val="000000"/>
          <w:spacing w:val="-3"/>
          <w:sz w:val="21"/>
          <w:szCs w:val="22"/>
        </w:rPr>
        <w:t xml:space="preserve"> </w:t>
      </w:r>
      <w:r>
        <w:rPr>
          <w:rFonts w:ascii="GSUBJR+å®ä½" w:hAnsi="Calibri" w:eastAsia="Times New Roman"/>
          <w:color w:val="000000"/>
          <w:spacing w:val="54"/>
          <w:sz w:val="21"/>
          <w:szCs w:val="22"/>
        </w:rPr>
        <w:t>1</w:t>
      </w:r>
      <w:r>
        <w:rPr>
          <w:rFonts w:ascii="EHEDNR+å®ä½" w:hAnsi="EHEDNR+å®ä½" w:eastAsia="Times New Roman" w:cs="EHEDNR+å®ä½"/>
          <w:color w:val="000000"/>
          <w:sz w:val="21"/>
          <w:szCs w:val="22"/>
        </w:rPr>
        <w:t>的规定；</w:t>
      </w:r>
    </w:p>
    <w:p>
      <w:pPr>
        <w:spacing w:before="187" w:line="221" w:lineRule="exact"/>
        <w:ind w:left="2574"/>
        <w:rPr>
          <w:rFonts w:hAnsi="Calibri" w:eastAsia="Times New Roman"/>
          <w:color w:val="000000"/>
          <w:sz w:val="21"/>
          <w:szCs w:val="22"/>
        </w:rPr>
      </w:pPr>
      <w:r>
        <w:rPr>
          <w:rFonts w:ascii="EHEDNR+å®ä½" w:hAnsi="EHEDNR+å®ä½" w:eastAsia="Times New Roman" w:cs="EHEDNR+å®ä½"/>
          <w:color w:val="000000"/>
          <w:spacing w:val="1"/>
          <w:sz w:val="21"/>
          <w:szCs w:val="22"/>
        </w:rPr>
        <w:t>（</w:t>
      </w:r>
      <w:r>
        <w:rPr>
          <w:rFonts w:ascii="GSUBJR+å®ä½" w:hAnsi="Calibri" w:eastAsia="Times New Roman"/>
          <w:color w:val="000000"/>
          <w:spacing w:val="1"/>
          <w:sz w:val="21"/>
          <w:szCs w:val="22"/>
        </w:rPr>
        <w:t>3</w:t>
      </w:r>
      <w:r>
        <w:rPr>
          <w:rFonts w:ascii="EHEDNR+å®ä½" w:hAnsi="EHEDNR+å®ä½" w:eastAsia="Times New Roman" w:cs="EHEDNR+å®ä½"/>
          <w:color w:val="000000"/>
          <w:sz w:val="21"/>
          <w:szCs w:val="22"/>
        </w:rPr>
        <w:t>）投标人的财务状况符合招标文件中投标人须知前附表附录</w:t>
      </w:r>
      <w:r>
        <w:rPr>
          <w:rFonts w:hAnsi="Calibri" w:eastAsia="Times New Roman"/>
          <w:color w:val="000000"/>
          <w:spacing w:val="-3"/>
          <w:sz w:val="21"/>
          <w:szCs w:val="22"/>
        </w:rPr>
        <w:t xml:space="preserve"> </w:t>
      </w:r>
      <w:r>
        <w:rPr>
          <w:rFonts w:ascii="GSUBJR+å®ä½" w:hAnsi="Calibri" w:eastAsia="Times New Roman"/>
          <w:color w:val="000000"/>
          <w:spacing w:val="54"/>
          <w:sz w:val="21"/>
          <w:szCs w:val="22"/>
        </w:rPr>
        <w:t>2</w:t>
      </w:r>
      <w:r>
        <w:rPr>
          <w:rFonts w:ascii="EHEDNR+å®ä½" w:hAnsi="EHEDNR+å®ä½" w:eastAsia="Times New Roman" w:cs="EHEDNR+å®ä½"/>
          <w:color w:val="000000"/>
          <w:sz w:val="21"/>
          <w:szCs w:val="22"/>
        </w:rPr>
        <w:t>的规定；</w:t>
      </w:r>
    </w:p>
    <w:p>
      <w:pPr>
        <w:spacing w:before="187" w:line="221" w:lineRule="exact"/>
        <w:ind w:left="2574"/>
        <w:rPr>
          <w:rFonts w:hAnsi="Calibri" w:eastAsia="Times New Roman"/>
          <w:color w:val="000000"/>
          <w:sz w:val="21"/>
          <w:szCs w:val="22"/>
        </w:rPr>
      </w:pPr>
      <w:r>
        <w:rPr>
          <w:rFonts w:ascii="EHEDNR+å®ä½" w:hAnsi="EHEDNR+å®ä½" w:eastAsia="Times New Roman" w:cs="EHEDNR+å®ä½"/>
          <w:color w:val="000000"/>
          <w:spacing w:val="1"/>
          <w:sz w:val="21"/>
          <w:szCs w:val="22"/>
        </w:rPr>
        <w:t>（</w:t>
      </w:r>
      <w:r>
        <w:rPr>
          <w:rFonts w:ascii="GSUBJR+å®ä½" w:hAnsi="Calibri" w:eastAsia="Times New Roman"/>
          <w:color w:val="000000"/>
          <w:spacing w:val="1"/>
          <w:sz w:val="21"/>
          <w:szCs w:val="22"/>
        </w:rPr>
        <w:t>4</w:t>
      </w:r>
      <w:r>
        <w:rPr>
          <w:rFonts w:ascii="EHEDNR+å®ä½" w:hAnsi="EHEDNR+å®ä½" w:eastAsia="Times New Roman" w:cs="EHEDNR+å®ä½"/>
          <w:color w:val="000000"/>
          <w:sz w:val="21"/>
          <w:szCs w:val="22"/>
        </w:rPr>
        <w:t>）投标人的企业业绩符合招标文件中投标人须知前附表附录</w:t>
      </w:r>
      <w:r>
        <w:rPr>
          <w:rFonts w:hAnsi="Calibri" w:eastAsia="Times New Roman"/>
          <w:color w:val="000000"/>
          <w:spacing w:val="-3"/>
          <w:sz w:val="21"/>
          <w:szCs w:val="22"/>
        </w:rPr>
        <w:t xml:space="preserve"> </w:t>
      </w:r>
      <w:r>
        <w:rPr>
          <w:rFonts w:ascii="GSUBJR+å®ä½" w:hAnsi="Calibri" w:eastAsia="Times New Roman"/>
          <w:color w:val="000000"/>
          <w:spacing w:val="54"/>
          <w:sz w:val="21"/>
          <w:szCs w:val="22"/>
        </w:rPr>
        <w:t>3</w:t>
      </w:r>
      <w:r>
        <w:rPr>
          <w:rFonts w:ascii="EHEDNR+å®ä½" w:hAnsi="EHEDNR+å®ä½" w:eastAsia="Times New Roman" w:cs="EHEDNR+å®ä½"/>
          <w:color w:val="000000"/>
          <w:sz w:val="21"/>
          <w:szCs w:val="22"/>
        </w:rPr>
        <w:t>的规定；</w:t>
      </w:r>
    </w:p>
    <w:p>
      <w:pPr>
        <w:spacing w:before="187" w:after="57" w:line="221" w:lineRule="exact"/>
        <w:ind w:left="2574"/>
        <w:rPr>
          <w:rFonts w:hAnsi="Calibri" w:eastAsia="Times New Roman"/>
          <w:color w:val="000000"/>
          <w:sz w:val="21"/>
          <w:szCs w:val="22"/>
        </w:rPr>
      </w:pPr>
      <w:r>
        <w:rPr>
          <w:rFonts w:ascii="EHEDNR+å®ä½" w:hAnsi="EHEDNR+å®ä½" w:eastAsia="Times New Roman" w:cs="EHEDNR+å®ä½"/>
          <w:color w:val="000000"/>
          <w:spacing w:val="1"/>
          <w:sz w:val="21"/>
          <w:szCs w:val="22"/>
        </w:rPr>
        <w:t>（</w:t>
      </w:r>
      <w:r>
        <w:rPr>
          <w:rFonts w:ascii="GSUBJR+å®ä½" w:hAnsi="Calibri" w:eastAsia="Times New Roman"/>
          <w:color w:val="000000"/>
          <w:spacing w:val="1"/>
          <w:sz w:val="21"/>
          <w:szCs w:val="22"/>
        </w:rPr>
        <w:t>5</w:t>
      </w:r>
      <w:r>
        <w:rPr>
          <w:rFonts w:ascii="EHEDNR+å®ä½" w:hAnsi="EHEDNR+å®ä½" w:eastAsia="Times New Roman" w:cs="EHEDNR+å®ä½"/>
          <w:color w:val="000000"/>
          <w:sz w:val="21"/>
          <w:szCs w:val="22"/>
        </w:rPr>
        <w:t>）投标人的企业信誉符合招标文件中投标人须知前附表附录</w:t>
      </w:r>
      <w:r>
        <w:rPr>
          <w:rFonts w:hAnsi="Calibri" w:eastAsia="Times New Roman"/>
          <w:color w:val="000000"/>
          <w:spacing w:val="-3"/>
          <w:sz w:val="21"/>
          <w:szCs w:val="22"/>
        </w:rPr>
        <w:t xml:space="preserve"> </w:t>
      </w:r>
      <w:r>
        <w:rPr>
          <w:rFonts w:ascii="GSUBJR+å®ä½" w:hAnsi="Calibri" w:eastAsia="Times New Roman"/>
          <w:color w:val="000000"/>
          <w:spacing w:val="54"/>
          <w:sz w:val="21"/>
          <w:szCs w:val="22"/>
        </w:rPr>
        <w:t>4</w:t>
      </w:r>
      <w:r>
        <w:rPr>
          <w:rFonts w:ascii="EHEDNR+å®ä½" w:hAnsi="EHEDNR+å®ä½" w:eastAsia="Times New Roman" w:cs="EHEDNR+å®ä½"/>
          <w:color w:val="000000"/>
          <w:sz w:val="21"/>
          <w:szCs w:val="22"/>
        </w:rPr>
        <w:t>的规定；</w:t>
      </w:r>
    </w:p>
    <w:tbl>
      <w:tblPr>
        <w:tblStyle w:val="2"/>
        <w:tblW w:w="0" w:type="auto"/>
        <w:tblInd w:w="0" w:type="dxa"/>
        <w:tblLayout w:type="autofit"/>
        <w:tblCellMar>
          <w:top w:w="0" w:type="dxa"/>
          <w:left w:w="0" w:type="dxa"/>
          <w:bottom w:w="0" w:type="dxa"/>
          <w:right w:w="0" w:type="dxa"/>
        </w:tblCellMar>
      </w:tblPr>
      <w:tblGrid>
        <w:gridCol w:w="96"/>
        <w:gridCol w:w="868"/>
        <w:gridCol w:w="20"/>
        <w:gridCol w:w="1151"/>
        <w:gridCol w:w="20"/>
        <w:gridCol w:w="7854"/>
      </w:tblGrid>
      <w:tr>
        <w:tblPrEx>
          <w:tblCellMar>
            <w:top w:w="0" w:type="dxa"/>
            <w:left w:w="0" w:type="dxa"/>
            <w:bottom w:w="0" w:type="dxa"/>
            <w:right w:w="0" w:type="dxa"/>
          </w:tblCellMar>
        </w:tblPrEx>
        <w:trPr>
          <w:trHeight w:val="719" w:hRule="atLeast"/>
        </w:trPr>
        <w:tc>
          <w:tcPr>
            <w:tcW w:w="96" w:type="dxa"/>
            <w:noWrap w:val="0"/>
            <w:vAlign w:val="top"/>
          </w:tcPr>
          <w:p>
            <w:pPr>
              <w:spacing w:line="0" w:lineRule="atLeast"/>
              <w:rPr>
                <w:rFonts w:hAnsi="Calibri" w:eastAsia="Times New Roman"/>
                <w:color w:val="000000"/>
                <w:sz w:val="21"/>
                <w:szCs w:val="22"/>
              </w:rPr>
            </w:pPr>
          </w:p>
        </w:tc>
        <w:tc>
          <w:tcPr>
            <w:tcW w:w="868" w:type="dxa"/>
            <w:noWrap w:val="0"/>
            <w:vAlign w:val="top"/>
          </w:tcPr>
          <w:p>
            <w:pPr>
              <w:spacing w:before="197" w:line="360" w:lineRule="auto"/>
              <w:rPr>
                <w:rFonts w:ascii="GSUBJR+å®ä½" w:hAnsi="Calibri" w:eastAsia="Times New Roman"/>
                <w:color w:val="000000"/>
                <w:sz w:val="22"/>
                <w:szCs w:val="22"/>
                <w:lang w:eastAsia="en-US"/>
              </w:rPr>
            </w:pPr>
            <w:r>
              <w:rPr>
                <w:rFonts w:ascii="GSUBJR+å®ä½" w:hAnsi="Calibri" w:eastAsia="Times New Roman"/>
                <w:color w:val="000000"/>
                <w:sz w:val="22"/>
                <w:szCs w:val="22"/>
                <w:lang w:eastAsia="en-US"/>
              </w:rPr>
              <w:t>2.1.2</w:t>
            </w:r>
          </w:p>
        </w:tc>
        <w:tc>
          <w:tcPr>
            <w:tcW w:w="20" w:type="dxa"/>
            <w:noWrap w:val="0"/>
            <w:vAlign w:val="top"/>
          </w:tcPr>
          <w:p>
            <w:pPr>
              <w:spacing w:line="360" w:lineRule="auto"/>
              <w:rPr>
                <w:rFonts w:ascii="GSUBJR+å®ä½" w:hAnsi="Calibri" w:eastAsia="Times New Roman"/>
                <w:color w:val="000000"/>
                <w:sz w:val="22"/>
                <w:szCs w:val="22"/>
                <w:lang w:eastAsia="en-US"/>
              </w:rPr>
            </w:pPr>
          </w:p>
        </w:tc>
        <w:tc>
          <w:tcPr>
            <w:tcW w:w="1151" w:type="dxa"/>
            <w:noWrap w:val="0"/>
            <w:vAlign w:val="top"/>
          </w:tcPr>
          <w:p>
            <w:pPr>
              <w:spacing w:line="360" w:lineRule="auto"/>
              <w:rPr>
                <w:rFonts w:hAnsi="Calibri" w:eastAsia="Times New Roman"/>
                <w:color w:val="000000"/>
                <w:sz w:val="22"/>
                <w:szCs w:val="22"/>
                <w:lang w:eastAsia="en-US"/>
              </w:rPr>
            </w:pPr>
            <w:r>
              <w:rPr>
                <w:rFonts w:ascii="EHEDNR+å®ä½" w:hAnsi="EHEDNR+å®ä½" w:eastAsia="Times New Roman" w:cs="EHEDNR+å®ä½"/>
                <w:color w:val="000000"/>
                <w:spacing w:val="1"/>
                <w:sz w:val="22"/>
                <w:szCs w:val="22"/>
                <w:lang w:eastAsia="en-US"/>
              </w:rPr>
              <w:t>资格评审</w:t>
            </w:r>
          </w:p>
          <w:p>
            <w:pPr>
              <w:spacing w:before="178" w:line="360" w:lineRule="auto"/>
              <w:ind w:left="216"/>
              <w:rPr>
                <w:rFonts w:hAnsi="Calibri" w:eastAsia="Times New Roman"/>
                <w:color w:val="000000"/>
                <w:sz w:val="22"/>
                <w:szCs w:val="22"/>
                <w:lang w:eastAsia="en-US"/>
              </w:rPr>
            </w:pPr>
            <w:r>
              <w:rPr>
                <w:rFonts w:ascii="EHEDNR+å®ä½" w:hAnsi="EHEDNR+å®ä½" w:eastAsia="Times New Roman" w:cs="EHEDNR+å®ä½"/>
                <w:color w:val="000000"/>
                <w:spacing w:val="1"/>
                <w:sz w:val="22"/>
                <w:szCs w:val="22"/>
                <w:lang w:eastAsia="en-US"/>
              </w:rPr>
              <w:t>标准</w:t>
            </w:r>
          </w:p>
        </w:tc>
        <w:tc>
          <w:tcPr>
            <w:tcW w:w="20" w:type="dxa"/>
            <w:noWrap w:val="0"/>
            <w:vAlign w:val="top"/>
          </w:tcPr>
          <w:p>
            <w:pPr>
              <w:spacing w:line="0" w:lineRule="atLeast"/>
              <w:rPr>
                <w:rFonts w:hAnsi="Calibri" w:eastAsia="Times New Roman"/>
                <w:color w:val="000000"/>
                <w:sz w:val="22"/>
                <w:szCs w:val="22"/>
                <w:lang w:eastAsia="en-US"/>
              </w:rPr>
            </w:pPr>
          </w:p>
        </w:tc>
        <w:tc>
          <w:tcPr>
            <w:tcW w:w="7854" w:type="dxa"/>
            <w:noWrap w:val="0"/>
            <w:vAlign w:val="top"/>
          </w:tcPr>
          <w:p>
            <w:pPr>
              <w:spacing w:before="99" w:line="211" w:lineRule="exact"/>
              <w:ind w:left="418"/>
              <w:rPr>
                <w:rFonts w:hAnsi="Calibri" w:eastAsia="Times New Roman"/>
                <w:color w:val="000000"/>
                <w:sz w:val="21"/>
                <w:szCs w:val="22"/>
              </w:rPr>
            </w:pPr>
            <w:r>
              <w:rPr>
                <w:rFonts w:ascii="EHEDNR+å®ä½" w:hAnsi="EHEDNR+å®ä½" w:eastAsia="Times New Roman" w:cs="EHEDNR+å®ä½"/>
                <w:color w:val="000000"/>
                <w:spacing w:val="6"/>
                <w:sz w:val="21"/>
                <w:szCs w:val="22"/>
              </w:rPr>
              <w:t>（</w:t>
            </w:r>
            <w:r>
              <w:rPr>
                <w:rFonts w:ascii="GSUBJR+å®ä½" w:hAnsi="Calibri" w:eastAsia="Times New Roman"/>
                <w:color w:val="000000"/>
                <w:spacing w:val="1"/>
                <w:sz w:val="21"/>
                <w:szCs w:val="22"/>
              </w:rPr>
              <w:t>6</w:t>
            </w:r>
            <w:r>
              <w:rPr>
                <w:rFonts w:ascii="EHEDNR+å®ä½" w:hAnsi="EHEDNR+å®ä½" w:eastAsia="Times New Roman" w:cs="EHEDNR+å®ä½"/>
                <w:color w:val="000000"/>
                <w:spacing w:val="3"/>
                <w:sz w:val="21"/>
                <w:szCs w:val="22"/>
              </w:rPr>
              <w:t>）投标人的项目经理和项目总工资格、在岗情况符合招标文件中投标人须知</w:t>
            </w:r>
          </w:p>
          <w:p>
            <w:pPr>
              <w:spacing w:before="197" w:line="211" w:lineRule="exact"/>
              <w:rPr>
                <w:rFonts w:hAnsi="Calibri" w:eastAsia="Times New Roman"/>
                <w:color w:val="000000"/>
                <w:sz w:val="21"/>
                <w:szCs w:val="22"/>
                <w:lang w:eastAsia="en-US"/>
              </w:rPr>
            </w:pPr>
            <w:r>
              <w:rPr>
                <w:rFonts w:ascii="EHEDNR+å®ä½" w:hAnsi="EHEDNR+å®ä½" w:eastAsia="Times New Roman" w:cs="EHEDNR+å®ä½"/>
                <w:color w:val="000000"/>
                <w:spacing w:val="1"/>
                <w:sz w:val="21"/>
                <w:szCs w:val="22"/>
                <w:lang w:eastAsia="en-US"/>
              </w:rPr>
              <w:t>前附表附录</w:t>
            </w:r>
            <w:r>
              <w:rPr>
                <w:rFonts w:hAnsi="Calibri" w:eastAsia="Times New Roman"/>
                <w:color w:val="000000"/>
                <w:spacing w:val="-4"/>
                <w:sz w:val="21"/>
                <w:szCs w:val="22"/>
                <w:lang w:eastAsia="en-US"/>
              </w:rPr>
              <w:t xml:space="preserve"> </w:t>
            </w:r>
            <w:r>
              <w:rPr>
                <w:rFonts w:ascii="GSUBJR+å®ä½" w:hAnsi="Calibri" w:eastAsia="Times New Roman"/>
                <w:color w:val="000000"/>
                <w:spacing w:val="53"/>
                <w:sz w:val="21"/>
                <w:szCs w:val="22"/>
                <w:lang w:eastAsia="en-US"/>
              </w:rPr>
              <w:t>5</w:t>
            </w:r>
            <w:r>
              <w:rPr>
                <w:rFonts w:ascii="EHEDNR+å®ä½" w:hAnsi="EHEDNR+å®ä½" w:eastAsia="Times New Roman" w:cs="EHEDNR+å®ä½"/>
                <w:color w:val="000000"/>
                <w:spacing w:val="1"/>
                <w:sz w:val="21"/>
                <w:szCs w:val="22"/>
                <w:lang w:eastAsia="en-US"/>
              </w:rPr>
              <w:t>规定；</w:t>
            </w:r>
          </w:p>
        </w:tc>
      </w:tr>
    </w:tbl>
    <w:p>
      <w:pPr>
        <w:spacing w:before="197" w:line="221" w:lineRule="exact"/>
        <w:ind w:left="2574"/>
        <w:rPr>
          <w:rFonts w:hAnsi="Calibri" w:eastAsia="Times New Roman"/>
          <w:color w:val="000000"/>
          <w:sz w:val="21"/>
          <w:szCs w:val="22"/>
        </w:rPr>
      </w:pPr>
      <w:r>
        <w:rPr>
          <w:rFonts w:ascii="EHEDNR+å®ä½" w:hAnsi="EHEDNR+å®ä½" w:eastAsia="Times New Roman" w:cs="EHEDNR+å®ä½"/>
          <w:color w:val="000000"/>
          <w:spacing w:val="1"/>
          <w:sz w:val="21"/>
          <w:szCs w:val="22"/>
        </w:rPr>
        <w:t>（</w:t>
      </w:r>
      <w:r>
        <w:rPr>
          <w:rFonts w:ascii="GSUBJR+å®ä½" w:hAnsi="Calibri" w:eastAsia="Times New Roman"/>
          <w:color w:val="000000"/>
          <w:spacing w:val="1"/>
          <w:sz w:val="21"/>
          <w:szCs w:val="22"/>
        </w:rPr>
        <w:t>7</w:t>
      </w:r>
      <w:r>
        <w:rPr>
          <w:rFonts w:ascii="EHEDNR+å®ä½" w:hAnsi="EHEDNR+å®ä½" w:eastAsia="Times New Roman" w:cs="EHEDNR+å®ä½"/>
          <w:color w:val="000000"/>
          <w:sz w:val="21"/>
          <w:szCs w:val="22"/>
        </w:rPr>
        <w:t>）投标人不存在第二章“投标人须知”第</w:t>
      </w:r>
      <w:r>
        <w:rPr>
          <w:rFonts w:hAnsi="Calibri" w:eastAsia="Times New Roman"/>
          <w:color w:val="000000"/>
          <w:spacing w:val="27"/>
          <w:sz w:val="21"/>
          <w:szCs w:val="22"/>
        </w:rPr>
        <w:t xml:space="preserve"> </w:t>
      </w:r>
      <w:r>
        <w:rPr>
          <w:rFonts w:ascii="GSUBJR+å®ä½" w:hAnsi="Calibri" w:eastAsia="Times New Roman"/>
          <w:color w:val="000000"/>
          <w:spacing w:val="1"/>
          <w:sz w:val="21"/>
          <w:szCs w:val="22"/>
        </w:rPr>
        <w:t>1.4.3</w:t>
      </w:r>
      <w:r>
        <w:rPr>
          <w:rFonts w:ascii="GSUBJR+å®ä½" w:hAnsi="Calibri" w:eastAsia="Times New Roman"/>
          <w:color w:val="000000"/>
          <w:spacing w:val="-32"/>
          <w:sz w:val="21"/>
          <w:szCs w:val="22"/>
        </w:rPr>
        <w:t xml:space="preserve"> </w:t>
      </w:r>
      <w:r>
        <w:rPr>
          <w:rFonts w:ascii="EHEDNR+å®ä½" w:hAnsi="EHEDNR+å®ä½" w:eastAsia="Times New Roman" w:cs="EHEDNR+å®ä½"/>
          <w:color w:val="000000"/>
          <w:spacing w:val="1"/>
          <w:sz w:val="21"/>
          <w:szCs w:val="22"/>
        </w:rPr>
        <w:t>项或第</w:t>
      </w:r>
      <w:r>
        <w:rPr>
          <w:rFonts w:hAnsi="Calibri" w:eastAsia="Times New Roman"/>
          <w:color w:val="000000"/>
          <w:spacing w:val="24"/>
          <w:sz w:val="21"/>
          <w:szCs w:val="22"/>
        </w:rPr>
        <w:t xml:space="preserve"> </w:t>
      </w:r>
      <w:r>
        <w:rPr>
          <w:rFonts w:ascii="GSUBJR+å®ä½" w:hAnsi="Calibri" w:eastAsia="Times New Roman"/>
          <w:color w:val="000000"/>
          <w:spacing w:val="1"/>
          <w:sz w:val="21"/>
          <w:szCs w:val="22"/>
        </w:rPr>
        <w:t>1.4.4</w:t>
      </w:r>
      <w:r>
        <w:rPr>
          <w:rFonts w:ascii="GSUBJR+å®ä½" w:hAnsi="Calibri" w:eastAsia="Times New Roman"/>
          <w:color w:val="000000"/>
          <w:spacing w:val="-28"/>
          <w:sz w:val="21"/>
          <w:szCs w:val="22"/>
        </w:rPr>
        <w:t xml:space="preserve"> </w:t>
      </w:r>
      <w:r>
        <w:rPr>
          <w:rFonts w:ascii="EHEDNR+å®ä½" w:hAnsi="EHEDNR+å®ä½" w:eastAsia="Times New Roman" w:cs="EHEDNR+å®ä½"/>
          <w:color w:val="000000"/>
          <w:sz w:val="21"/>
          <w:szCs w:val="22"/>
        </w:rPr>
        <w:t>项规定的任何</w:t>
      </w:r>
    </w:p>
    <w:p>
      <w:pPr>
        <w:spacing w:before="187" w:line="221" w:lineRule="exact"/>
        <w:ind w:left="2156"/>
        <w:rPr>
          <w:rFonts w:hAnsi="Calibri" w:eastAsia="Times New Roman"/>
          <w:color w:val="000000"/>
          <w:sz w:val="21"/>
          <w:szCs w:val="22"/>
        </w:rPr>
      </w:pPr>
      <w:r>
        <w:rPr>
          <w:rFonts w:ascii="EHEDNR+å®ä½" w:hAnsi="EHEDNR+å®ä½" w:eastAsia="Times New Roman" w:cs="EHEDNR+å®ä½"/>
          <w:color w:val="000000"/>
          <w:spacing w:val="1"/>
          <w:sz w:val="21"/>
          <w:szCs w:val="22"/>
        </w:rPr>
        <w:t>一种情形。</w:t>
      </w:r>
    </w:p>
    <w:p>
      <w:pPr>
        <w:spacing w:before="192" w:line="221" w:lineRule="exact"/>
        <w:ind w:left="2574"/>
        <w:rPr>
          <w:rFonts w:hAnsi="Calibri" w:eastAsia="Times New Roman"/>
          <w:color w:val="000000"/>
          <w:sz w:val="21"/>
          <w:szCs w:val="22"/>
        </w:rPr>
      </w:pPr>
      <w:r>
        <w:rPr>
          <w:rFonts w:ascii="EHEDNR+å®ä½" w:hAnsi="EHEDNR+å®ä½" w:eastAsia="Times New Roman" w:cs="EHEDNR+å®ä½"/>
          <w:color w:val="000000"/>
          <w:spacing w:val="1"/>
          <w:sz w:val="21"/>
          <w:szCs w:val="22"/>
        </w:rPr>
        <w:t>（</w:t>
      </w:r>
      <w:r>
        <w:rPr>
          <w:rFonts w:ascii="GSUBJR+å®ä½" w:hAnsi="Calibri" w:eastAsia="Times New Roman"/>
          <w:color w:val="000000"/>
          <w:spacing w:val="1"/>
          <w:sz w:val="21"/>
          <w:szCs w:val="22"/>
        </w:rPr>
        <w:t>8</w:t>
      </w:r>
      <w:r>
        <w:rPr>
          <w:rFonts w:ascii="EHEDNR+å®ä½" w:hAnsi="EHEDNR+å®ä½" w:eastAsia="Times New Roman" w:cs="EHEDNR+å®ä½"/>
          <w:color w:val="000000"/>
          <w:sz w:val="21"/>
          <w:szCs w:val="22"/>
        </w:rPr>
        <w:t>）投标人符合第二章“投标人须知”第</w:t>
      </w:r>
      <w:r>
        <w:rPr>
          <w:rFonts w:hAnsi="Calibri" w:eastAsia="Times New Roman"/>
          <w:color w:val="000000"/>
          <w:spacing w:val="1"/>
          <w:sz w:val="21"/>
          <w:szCs w:val="22"/>
        </w:rPr>
        <w:t xml:space="preserve"> </w:t>
      </w:r>
      <w:r>
        <w:rPr>
          <w:rFonts w:ascii="GSUBJR+å®ä½" w:hAnsi="Calibri" w:eastAsia="Times New Roman"/>
          <w:color w:val="000000"/>
          <w:sz w:val="21"/>
          <w:szCs w:val="22"/>
        </w:rPr>
        <w:t>1.4.5</w:t>
      </w:r>
      <w:r>
        <w:rPr>
          <w:rFonts w:ascii="EHEDNR+å®ä½" w:hAnsi="EHEDNR+å®ä½" w:eastAsia="Times New Roman" w:cs="EHEDNR+å®ä½"/>
          <w:color w:val="000000"/>
          <w:sz w:val="21"/>
          <w:szCs w:val="22"/>
        </w:rPr>
        <w:t>项规定。</w:t>
      </w:r>
    </w:p>
    <w:p>
      <w:pPr>
        <w:spacing w:before="289" w:line="231" w:lineRule="exact"/>
        <w:ind w:firstLine="2220" w:firstLineChars="1000"/>
        <w:rPr>
          <w:rFonts w:hAnsi="Calibri" w:eastAsia="Times New Roman"/>
          <w:color w:val="000000"/>
          <w:sz w:val="22"/>
          <w:szCs w:val="22"/>
        </w:rPr>
      </w:pPr>
      <w:r>
        <w:rPr>
          <w:rFonts w:ascii="EHEDNR+å®ä½" w:hAnsi="EHEDNR+å®ä½" w:eastAsia="Times New Roman" w:cs="EHEDNR+å®ä½"/>
          <w:color w:val="000000"/>
          <w:spacing w:val="1"/>
          <w:sz w:val="22"/>
          <w:szCs w:val="22"/>
        </w:rPr>
        <w:t>投标文件未满足以上任一条件的，其投标视为无效，评标委员会将否决其投标。</w:t>
      </w:r>
    </w:p>
    <w:p>
      <w:pPr>
        <w:spacing w:before="341" w:line="231" w:lineRule="exact"/>
        <w:ind w:left="442"/>
        <w:rPr>
          <w:rFonts w:hAnsi="Calibri" w:eastAsia="Times New Roman"/>
          <w:color w:val="000000"/>
          <w:sz w:val="22"/>
          <w:szCs w:val="22"/>
        </w:rPr>
      </w:pPr>
      <w:r>
        <w:rPr>
          <w:rFonts w:ascii="EHEDNR+å®ä½" w:hAnsi="EHEDNR+å®ä½" w:eastAsia="Times New Roman" w:cs="EHEDNR+å®ä½"/>
          <w:color w:val="000000"/>
          <w:spacing w:val="1"/>
          <w:sz w:val="22"/>
          <w:szCs w:val="22"/>
        </w:rPr>
        <w:t>注：上述“形式评审与响应性评审”和“资格评审”，投标人的投标文件，若有一条评审项不合</w:t>
      </w:r>
    </w:p>
    <w:p>
      <w:pPr>
        <w:spacing w:before="168" w:line="231" w:lineRule="exact"/>
        <w:rPr>
          <w:rFonts w:ascii="EHEDNR+å®ä½" w:hAnsi="EHEDNR+å®ä½" w:eastAsia="Times New Roman" w:cs="EHEDNR+å®ä½"/>
          <w:color w:val="000000"/>
          <w:spacing w:val="1"/>
          <w:sz w:val="22"/>
          <w:szCs w:val="22"/>
        </w:rPr>
      </w:pPr>
      <w:r>
        <w:rPr>
          <w:rFonts w:ascii="EHEDNR+å®ä½" w:hAnsi="EHEDNR+å®ä½" w:eastAsia="Times New Roman" w:cs="EHEDNR+å®ä½"/>
          <w:color w:val="000000"/>
          <w:spacing w:val="1"/>
          <w:sz w:val="22"/>
          <w:szCs w:val="22"/>
        </w:rPr>
        <w:t>格，按照“无效标”处理，不再进入后续评分或评审。</w:t>
      </w:r>
    </w:p>
    <w:p>
      <w:pPr>
        <w:spacing w:before="168" w:line="231" w:lineRule="exact"/>
        <w:rPr>
          <w:rFonts w:ascii="EHEDNR+å®ä½" w:hAnsi="EHEDNR+å®ä½" w:eastAsia="Times New Roman" w:cs="EHEDNR+å®ä½"/>
          <w:color w:val="000000"/>
          <w:spacing w:val="1"/>
          <w:sz w:val="22"/>
          <w:szCs w:val="22"/>
        </w:rPr>
      </w:pPr>
    </w:p>
    <w:p>
      <w:pPr>
        <w:spacing w:before="168" w:line="231" w:lineRule="exact"/>
        <w:rPr>
          <w:rFonts w:hAnsi="Calibri" w:eastAsia="Times New Roman"/>
          <w:color w:val="000000"/>
          <w:sz w:val="22"/>
          <w:szCs w:val="22"/>
        </w:rPr>
      </w:pPr>
      <w:r>
        <w:rPr>
          <w:rFonts w:ascii="EHEDNR+å®ä½" w:hAnsi="EHEDNR+å®ä½" w:eastAsia="Times New Roman" w:cs="EHEDNR+å®ä½"/>
          <w:color w:val="000000"/>
          <w:spacing w:val="1"/>
          <w:sz w:val="22"/>
          <w:szCs w:val="22"/>
        </w:rPr>
        <w:t>条款号</w:t>
      </w:r>
      <w:r>
        <w:rPr>
          <w:rFonts w:hint="eastAsia" w:ascii="EHEDNR+å®ä½" w:hAnsi="EHEDNR+å®ä½" w:cs="EHEDNR+å®ä½"/>
          <w:color w:val="000000"/>
          <w:spacing w:val="1"/>
          <w:sz w:val="22"/>
          <w:szCs w:val="22"/>
          <w:lang w:val="en-US" w:eastAsia="zh-CN"/>
        </w:rPr>
        <w:t xml:space="preserve">    </w:t>
      </w:r>
      <w:r>
        <w:rPr>
          <w:rFonts w:ascii="EHEDNR+å®ä½" w:hAnsi="EHEDNR+å®ä½" w:eastAsia="Times New Roman" w:cs="EHEDNR+å®ä½"/>
          <w:color w:val="000000"/>
          <w:spacing w:val="1"/>
          <w:sz w:val="22"/>
          <w:szCs w:val="22"/>
        </w:rPr>
        <w:t>条款内容</w:t>
      </w:r>
      <w:r>
        <w:rPr>
          <w:rFonts w:hint="eastAsia" w:ascii="EHEDNR+å®ä½" w:hAnsi="EHEDNR+å®ä½" w:cs="EHEDNR+å®ä½"/>
          <w:color w:val="000000"/>
          <w:spacing w:val="1"/>
          <w:sz w:val="22"/>
          <w:szCs w:val="22"/>
          <w:lang w:val="en-US" w:eastAsia="zh-CN"/>
        </w:rPr>
        <w:t xml:space="preserve">                            </w:t>
      </w:r>
      <w:r>
        <w:rPr>
          <w:rFonts w:ascii="EHEDNR+å®ä½" w:hAnsi="EHEDNR+å®ä½" w:eastAsia="Times New Roman" w:cs="EHEDNR+å®ä½"/>
          <w:color w:val="000000"/>
          <w:spacing w:val="1"/>
          <w:sz w:val="22"/>
          <w:szCs w:val="22"/>
        </w:rPr>
        <w:t>编列内容</w:t>
      </w:r>
    </w:p>
    <w:p>
      <w:pPr>
        <w:spacing w:before="264" w:line="231" w:lineRule="exact"/>
        <w:ind w:firstLine="1110" w:firstLineChars="500"/>
        <w:rPr>
          <w:rFonts w:ascii="EHEDNR+å®ä½" w:hAnsi="EHEDNR+å®ä½" w:eastAsia="Times New Roman" w:cs="EHEDNR+å®ä½"/>
          <w:color w:val="000000"/>
          <w:spacing w:val="1"/>
          <w:sz w:val="22"/>
          <w:szCs w:val="22"/>
        </w:rPr>
      </w:pPr>
      <w:r>
        <w:rPr>
          <w:rFonts w:ascii="EHEDNR+å®ä½" w:hAnsi="EHEDNR+å®ä½" w:eastAsia="Times New Roman" w:cs="EHEDNR+å®ä½"/>
          <w:color w:val="000000"/>
          <w:spacing w:val="1"/>
          <w:sz w:val="22"/>
          <w:szCs w:val="22"/>
        </w:rPr>
        <w:t>分值构成</w:t>
      </w:r>
    </w:p>
    <w:p>
      <w:pPr>
        <w:spacing w:before="264" w:line="231" w:lineRule="exact"/>
        <w:rPr>
          <w:rFonts w:hAnsi="Calibri" w:eastAsia="Times New Roman"/>
          <w:color w:val="000000"/>
          <w:sz w:val="22"/>
          <w:szCs w:val="22"/>
        </w:rPr>
      </w:pPr>
      <w:r>
        <w:rPr>
          <w:rFonts w:ascii="GSUBJR+å®ä½" w:hAnsi="Calibri" w:eastAsia="Times New Roman"/>
          <w:color w:val="000000"/>
          <w:sz w:val="22"/>
          <w:szCs w:val="22"/>
        </w:rPr>
        <w:t>2.2.1</w:t>
      </w:r>
      <w:r>
        <w:rPr>
          <w:rFonts w:hint="eastAsia" w:ascii="GSUBJR+å®ä½" w:hAnsi="Calibri"/>
          <w:color w:val="000000"/>
          <w:sz w:val="22"/>
          <w:szCs w:val="22"/>
          <w:lang w:val="en-US" w:eastAsia="zh-CN"/>
        </w:rPr>
        <w:t xml:space="preserve">  </w:t>
      </w:r>
      <w:r>
        <w:rPr>
          <w:rFonts w:ascii="EHEDNR+å®ä½" w:hAnsi="EHEDNR+å®ä½" w:eastAsia="Times New Roman" w:cs="EHEDNR+å®ä½"/>
          <w:color w:val="000000"/>
          <w:spacing w:val="1"/>
          <w:sz w:val="22"/>
          <w:szCs w:val="22"/>
        </w:rPr>
        <w:t>（总分</w:t>
      </w:r>
      <w:r>
        <w:rPr>
          <w:rFonts w:ascii="GSUBJR+å®ä½" w:hAnsi="Calibri" w:eastAsia="Times New Roman"/>
          <w:color w:val="000000"/>
          <w:sz w:val="22"/>
          <w:szCs w:val="22"/>
        </w:rPr>
        <w:t>100</w:t>
      </w:r>
      <w:r>
        <w:rPr>
          <w:rFonts w:hint="eastAsia" w:ascii="GSUBJR+å®ä½" w:hAnsi="Calibri"/>
          <w:color w:val="000000"/>
          <w:sz w:val="22"/>
          <w:szCs w:val="22"/>
          <w:lang w:val="en-US" w:eastAsia="zh-CN"/>
        </w:rPr>
        <w:t xml:space="preserve">分）                 </w:t>
      </w:r>
      <w:r>
        <w:rPr>
          <w:rFonts w:ascii="EHEDNR+å®ä½" w:hAnsi="EHEDNR+å®ä½" w:eastAsia="Times New Roman" w:cs="EHEDNR+å®ä½"/>
          <w:color w:val="000000"/>
          <w:spacing w:val="1"/>
          <w:sz w:val="22"/>
          <w:szCs w:val="22"/>
        </w:rPr>
        <w:t>评标价：</w:t>
      </w:r>
      <w:r>
        <w:rPr>
          <w:rFonts w:ascii="GSUBJR+å®ä½" w:hAnsi="Calibri" w:eastAsia="Times New Roman"/>
          <w:color w:val="000000"/>
          <w:sz w:val="22"/>
          <w:szCs w:val="22"/>
        </w:rPr>
        <w:t>100</w:t>
      </w:r>
      <w:r>
        <w:rPr>
          <w:rFonts w:ascii="EHEDNR+å®ä½" w:hAnsi="EHEDNR+å®ä½" w:eastAsia="Times New Roman" w:cs="EHEDNR+å®ä½"/>
          <w:color w:val="000000"/>
          <w:sz w:val="22"/>
          <w:szCs w:val="22"/>
        </w:rPr>
        <w:t>分</w:t>
      </w:r>
    </w:p>
    <w:p>
      <w:pPr>
        <w:spacing w:before="75" w:line="221" w:lineRule="exact"/>
        <w:ind w:left="2521"/>
        <w:rPr>
          <w:rFonts w:ascii="EHEDNR+å®ä½" w:hAnsi="EHEDNR+å®ä½" w:eastAsia="Times New Roman" w:cs="EHEDNR+å®ä½"/>
          <w:color w:val="000000"/>
          <w:spacing w:val="1"/>
          <w:sz w:val="21"/>
          <w:szCs w:val="22"/>
        </w:rPr>
      </w:pPr>
    </w:p>
    <w:p>
      <w:pPr>
        <w:spacing w:before="75" w:line="221" w:lineRule="exact"/>
        <w:ind w:left="2521"/>
        <w:rPr>
          <w:rFonts w:ascii="EHEDNR+å®ä½" w:hAnsi="EHEDNR+å®ä½" w:eastAsia="Times New Roman" w:cs="EHEDNR+å®ä½"/>
          <w:color w:val="000000"/>
          <w:spacing w:val="1"/>
          <w:sz w:val="21"/>
          <w:szCs w:val="22"/>
        </w:rPr>
      </w:pPr>
    </w:p>
    <w:p>
      <w:pPr>
        <w:spacing w:before="75" w:line="221" w:lineRule="exact"/>
        <w:ind w:left="2521"/>
        <w:rPr>
          <w:rFonts w:hAnsi="Calibri" w:eastAsia="Times New Roman"/>
          <w:color w:val="000000"/>
          <w:sz w:val="21"/>
          <w:szCs w:val="22"/>
        </w:rPr>
      </w:pPr>
      <w:r>
        <w:rPr>
          <w:rFonts w:ascii="EHEDNR+å®ä½" w:hAnsi="EHEDNR+å®ä½" w:eastAsia="Times New Roman" w:cs="EHEDNR+å®ä½"/>
          <w:color w:val="000000"/>
          <w:spacing w:val="1"/>
          <w:sz w:val="21"/>
          <w:szCs w:val="22"/>
        </w:rPr>
        <w:t>评标基准价的计算：</w:t>
      </w:r>
    </w:p>
    <w:p>
      <w:pPr>
        <w:spacing w:before="187" w:line="221" w:lineRule="exact"/>
        <w:ind w:left="2996"/>
        <w:rPr>
          <w:rFonts w:hAnsi="Calibri" w:eastAsia="Times New Roman"/>
          <w:color w:val="000000"/>
          <w:sz w:val="21"/>
          <w:szCs w:val="22"/>
        </w:rPr>
      </w:pPr>
      <w:r>
        <w:rPr>
          <w:rFonts w:ascii="EHEDNR+å®ä½" w:hAnsi="EHEDNR+å®ä½" w:eastAsia="Times New Roman" w:cs="EHEDNR+å®ä½"/>
          <w:color w:val="000000"/>
          <w:sz w:val="21"/>
          <w:szCs w:val="22"/>
        </w:rPr>
        <w:t>在开标现场，招标人将当场计算并宣布评标基准价。</w:t>
      </w:r>
    </w:p>
    <w:p>
      <w:pPr>
        <w:spacing w:before="187" w:after="67" w:line="221" w:lineRule="exact"/>
        <w:ind w:left="2996"/>
        <w:rPr>
          <w:rFonts w:hAnsi="Calibri" w:eastAsia="Times New Roman"/>
          <w:color w:val="000000"/>
          <w:sz w:val="21"/>
          <w:szCs w:val="22"/>
          <w:lang w:eastAsia="en-US"/>
        </w:rPr>
      </w:pPr>
      <w:r>
        <w:rPr>
          <w:rFonts w:ascii="EHEDNR+å®ä½" w:hAnsi="EHEDNR+å®ä½" w:eastAsia="Times New Roman" w:cs="EHEDNR+å®ä½"/>
          <w:color w:val="000000"/>
          <w:spacing w:val="1"/>
          <w:sz w:val="21"/>
          <w:szCs w:val="22"/>
          <w:lang w:eastAsia="en-US"/>
        </w:rPr>
        <w:t>（</w:t>
      </w:r>
      <w:r>
        <w:rPr>
          <w:rFonts w:ascii="GSUBJR+å®ä½" w:hAnsi="Calibri" w:eastAsia="Times New Roman"/>
          <w:color w:val="000000"/>
          <w:spacing w:val="1"/>
          <w:sz w:val="21"/>
          <w:szCs w:val="22"/>
          <w:lang w:eastAsia="en-US"/>
        </w:rPr>
        <w:t>1</w:t>
      </w:r>
      <w:r>
        <w:rPr>
          <w:rFonts w:ascii="EHEDNR+å®ä½" w:hAnsi="EHEDNR+å®ä½" w:eastAsia="Times New Roman" w:cs="EHEDNR+å®ä½"/>
          <w:color w:val="000000"/>
          <w:spacing w:val="1"/>
          <w:sz w:val="21"/>
          <w:szCs w:val="22"/>
          <w:lang w:eastAsia="en-US"/>
        </w:rPr>
        <w:t>）评标价的确定：</w:t>
      </w:r>
    </w:p>
    <w:tbl>
      <w:tblPr>
        <w:tblStyle w:val="2"/>
        <w:tblW w:w="0" w:type="auto"/>
        <w:tblInd w:w="0" w:type="dxa"/>
        <w:tblLayout w:type="autofit"/>
        <w:tblCellMar>
          <w:top w:w="0" w:type="dxa"/>
          <w:left w:w="0" w:type="dxa"/>
          <w:bottom w:w="0" w:type="dxa"/>
          <w:right w:w="0" w:type="dxa"/>
        </w:tblCellMar>
      </w:tblPr>
      <w:tblGrid>
        <w:gridCol w:w="96"/>
        <w:gridCol w:w="859"/>
        <w:gridCol w:w="20"/>
        <w:gridCol w:w="2001"/>
        <w:gridCol w:w="20"/>
        <w:gridCol w:w="7004"/>
      </w:tblGrid>
      <w:tr>
        <w:tblPrEx>
          <w:tblCellMar>
            <w:top w:w="0" w:type="dxa"/>
            <w:left w:w="0" w:type="dxa"/>
            <w:bottom w:w="0" w:type="dxa"/>
            <w:right w:w="0" w:type="dxa"/>
          </w:tblCellMar>
        </w:tblPrEx>
        <w:trPr>
          <w:trHeight w:val="714" w:hRule="atLeast"/>
        </w:trPr>
        <w:tc>
          <w:tcPr>
            <w:tcW w:w="96" w:type="dxa"/>
            <w:noWrap w:val="0"/>
            <w:vAlign w:val="top"/>
          </w:tcPr>
          <w:p>
            <w:pPr>
              <w:spacing w:line="0" w:lineRule="atLeast"/>
              <w:rPr>
                <w:rFonts w:hAnsi="Calibri" w:eastAsia="Times New Roman"/>
                <w:color w:val="000000"/>
                <w:sz w:val="21"/>
                <w:szCs w:val="22"/>
                <w:lang w:eastAsia="en-US"/>
              </w:rPr>
            </w:pPr>
          </w:p>
        </w:tc>
        <w:tc>
          <w:tcPr>
            <w:tcW w:w="859" w:type="dxa"/>
            <w:noWrap w:val="0"/>
            <w:vAlign w:val="top"/>
          </w:tcPr>
          <w:p>
            <w:pPr>
              <w:spacing w:before="197" w:line="221" w:lineRule="exact"/>
              <w:rPr>
                <w:rFonts w:ascii="GSUBJR+å®ä½" w:hAnsi="Calibri" w:eastAsia="Times New Roman"/>
                <w:color w:val="000000"/>
                <w:sz w:val="22"/>
                <w:szCs w:val="22"/>
                <w:lang w:eastAsia="en-US"/>
              </w:rPr>
            </w:pPr>
            <w:r>
              <w:rPr>
                <w:rFonts w:ascii="GSUBJR+å®ä½" w:hAnsi="Calibri" w:eastAsia="Times New Roman"/>
                <w:color w:val="000000"/>
                <w:sz w:val="22"/>
                <w:szCs w:val="22"/>
                <w:lang w:eastAsia="en-US"/>
              </w:rPr>
              <w:t>2.2.2</w:t>
            </w:r>
          </w:p>
        </w:tc>
        <w:tc>
          <w:tcPr>
            <w:tcW w:w="20" w:type="dxa"/>
            <w:noWrap w:val="0"/>
            <w:vAlign w:val="top"/>
          </w:tcPr>
          <w:p>
            <w:pPr>
              <w:spacing w:line="0" w:lineRule="atLeast"/>
              <w:rPr>
                <w:rFonts w:ascii="GSUBJR+å®ä½" w:hAnsi="Calibri" w:eastAsia="Times New Roman"/>
                <w:color w:val="000000"/>
                <w:sz w:val="22"/>
                <w:szCs w:val="22"/>
                <w:lang w:eastAsia="en-US"/>
              </w:rPr>
            </w:pPr>
          </w:p>
        </w:tc>
        <w:tc>
          <w:tcPr>
            <w:tcW w:w="2001" w:type="dxa"/>
            <w:noWrap w:val="0"/>
            <w:vAlign w:val="top"/>
          </w:tcPr>
          <w:p>
            <w:pPr>
              <w:spacing w:line="360" w:lineRule="auto"/>
              <w:rPr>
                <w:rFonts w:hAnsi="Calibri" w:eastAsia="Times New Roman"/>
                <w:color w:val="000000"/>
                <w:sz w:val="22"/>
                <w:szCs w:val="22"/>
                <w:lang w:eastAsia="en-US"/>
              </w:rPr>
            </w:pPr>
            <w:r>
              <w:rPr>
                <w:rFonts w:ascii="EHEDNR+å®ä½" w:hAnsi="EHEDNR+å®ä½" w:eastAsia="Times New Roman" w:cs="EHEDNR+å®ä½"/>
                <w:color w:val="000000"/>
                <w:spacing w:val="1"/>
                <w:sz w:val="22"/>
                <w:szCs w:val="22"/>
                <w:lang w:eastAsia="en-US"/>
              </w:rPr>
              <w:t>评标基准价计</w:t>
            </w:r>
          </w:p>
          <w:p>
            <w:pPr>
              <w:spacing w:before="178" w:line="360" w:lineRule="auto"/>
              <w:ind w:left="331"/>
              <w:rPr>
                <w:rFonts w:hAnsi="Calibri" w:eastAsia="Times New Roman"/>
                <w:color w:val="000000"/>
                <w:sz w:val="22"/>
                <w:szCs w:val="22"/>
                <w:lang w:eastAsia="en-US"/>
              </w:rPr>
            </w:pPr>
            <w:r>
              <w:rPr>
                <w:rFonts w:ascii="EHEDNR+å®ä½" w:hAnsi="EHEDNR+å®ä½" w:eastAsia="Times New Roman" w:cs="EHEDNR+å®ä½"/>
                <w:color w:val="000000"/>
                <w:spacing w:val="1"/>
                <w:sz w:val="22"/>
                <w:szCs w:val="22"/>
                <w:lang w:eastAsia="en-US"/>
              </w:rPr>
              <w:t>算方法</w:t>
            </w:r>
          </w:p>
        </w:tc>
        <w:tc>
          <w:tcPr>
            <w:tcW w:w="20" w:type="dxa"/>
            <w:noWrap w:val="0"/>
            <w:vAlign w:val="top"/>
          </w:tcPr>
          <w:p>
            <w:pPr>
              <w:spacing w:line="0" w:lineRule="atLeast"/>
              <w:rPr>
                <w:rFonts w:hAnsi="Calibri" w:eastAsia="Times New Roman"/>
                <w:color w:val="000000"/>
                <w:sz w:val="22"/>
                <w:szCs w:val="22"/>
                <w:lang w:eastAsia="en-US"/>
              </w:rPr>
            </w:pPr>
          </w:p>
        </w:tc>
        <w:tc>
          <w:tcPr>
            <w:tcW w:w="7004" w:type="dxa"/>
            <w:noWrap w:val="0"/>
            <w:vAlign w:val="top"/>
          </w:tcPr>
          <w:p>
            <w:pPr>
              <w:spacing w:before="90" w:line="211" w:lineRule="exact"/>
              <w:rPr>
                <w:rFonts w:hAnsi="Calibri" w:eastAsia="Times New Roman"/>
                <w:color w:val="000000"/>
                <w:sz w:val="21"/>
                <w:szCs w:val="22"/>
              </w:rPr>
            </w:pPr>
            <w:r>
              <w:rPr>
                <w:rFonts w:ascii="EHEDNR+å®ä½" w:hAnsi="EHEDNR+å®ä½" w:eastAsia="Times New Roman" w:cs="EHEDNR+å®ä½"/>
                <w:color w:val="000000"/>
                <w:sz w:val="21"/>
                <w:szCs w:val="22"/>
              </w:rPr>
              <w:t>方法一：评标价＝投标函文字报价</w:t>
            </w:r>
          </w:p>
          <w:p>
            <w:pPr>
              <w:spacing w:before="202" w:line="211" w:lineRule="exact"/>
              <w:rPr>
                <w:rFonts w:hAnsi="Calibri" w:eastAsia="Times New Roman"/>
                <w:color w:val="000000"/>
                <w:sz w:val="21"/>
                <w:szCs w:val="22"/>
              </w:rPr>
            </w:pPr>
            <w:r>
              <w:rPr>
                <w:rFonts w:ascii="EHEDNR+å®ä½" w:hAnsi="EHEDNR+å®ä½" w:eastAsia="Times New Roman" w:cs="EHEDNR+å®ä½"/>
                <w:color w:val="000000"/>
                <w:spacing w:val="14"/>
                <w:sz w:val="21"/>
                <w:szCs w:val="22"/>
              </w:rPr>
              <w:t>方法二：评标价＝投标函文字报价－暂估价－暂列金额（不含计日工总</w:t>
            </w:r>
          </w:p>
        </w:tc>
      </w:tr>
    </w:tbl>
    <w:p>
      <w:pPr>
        <w:spacing w:before="197" w:line="221" w:lineRule="exact"/>
        <w:ind w:left="2579"/>
        <w:rPr>
          <w:rFonts w:hAnsi="Calibri" w:eastAsia="Times New Roman"/>
          <w:color w:val="000000"/>
          <w:sz w:val="21"/>
          <w:szCs w:val="22"/>
        </w:rPr>
      </w:pPr>
      <w:r>
        <w:rPr>
          <w:rFonts w:ascii="EHEDNR+å®ä½" w:hAnsi="EHEDNR+å®ä½" w:eastAsia="Times New Roman" w:cs="EHEDNR+å®ä½"/>
          <w:color w:val="000000"/>
          <w:spacing w:val="1"/>
          <w:sz w:val="21"/>
          <w:szCs w:val="22"/>
        </w:rPr>
        <w:t>额）（</w:t>
      </w:r>
      <w:r>
        <w:rPr>
          <w:rFonts w:ascii="GSUBJR+å®ä½" w:hAnsi="Calibri" w:eastAsia="Times New Roman"/>
          <w:color w:val="000000"/>
          <w:spacing w:val="1"/>
          <w:sz w:val="21"/>
          <w:szCs w:val="22"/>
        </w:rPr>
        <w:t>2</w:t>
      </w:r>
      <w:r>
        <w:rPr>
          <w:rFonts w:ascii="EHEDNR+å®ä½" w:hAnsi="EHEDNR+å®ä½" w:eastAsia="Times New Roman" w:cs="EHEDNR+å®ä½"/>
          <w:color w:val="000000"/>
          <w:sz w:val="21"/>
          <w:szCs w:val="22"/>
        </w:rPr>
        <w:t>）评标价平均值的计算：</w:t>
      </w:r>
    </w:p>
    <w:p>
      <w:pPr>
        <w:spacing w:before="846" w:line="192" w:lineRule="exact"/>
        <w:ind w:left="4936"/>
        <w:rPr>
          <w:rFonts w:ascii="GSUBJR+å®ä½" w:hAnsi="Calibri" w:eastAsia="Times New Roman"/>
          <w:color w:val="000000"/>
          <w:sz w:val="18"/>
          <w:szCs w:val="22"/>
        </w:rPr>
        <w:sectPr>
          <w:pgSz w:w="11900" w:h="16820"/>
          <w:pgMar w:top="1635" w:right="100" w:bottom="0" w:left="932" w:header="720" w:footer="720" w:gutter="0"/>
          <w:pgNumType w:start="1"/>
          <w:cols w:space="720" w:num="1"/>
          <w:docGrid w:linePitch="1" w:charSpace="0"/>
        </w:sectPr>
      </w:pPr>
    </w:p>
    <w:p>
      <w:pPr>
        <w:spacing w:line="231" w:lineRule="exact"/>
        <w:ind w:firstLine="720" w:firstLineChars="300"/>
        <w:rPr>
          <w:rFonts w:hAnsi="Calibri" w:eastAsia="Times New Roman"/>
          <w:color w:val="000000"/>
          <w:sz w:val="22"/>
          <w:szCs w:val="22"/>
        </w:rPr>
      </w:pPr>
      <w:r>
        <w:drawing>
          <wp:anchor distT="0" distB="0" distL="114300" distR="114300" simplePos="0" relativeHeight="251662336" behindDoc="1" locked="0" layoutInCell="1" allowOverlap="1">
            <wp:simplePos x="0" y="0"/>
            <wp:positionH relativeFrom="page">
              <wp:posOffset>502920</wp:posOffset>
            </wp:positionH>
            <wp:positionV relativeFrom="page">
              <wp:posOffset>875030</wp:posOffset>
            </wp:positionV>
            <wp:extent cx="6557010" cy="8769350"/>
            <wp:effectExtent l="0" t="0" r="15240" b="1270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6557010" cy="8769350"/>
                    </a:xfrm>
                    <a:prstGeom prst="rect">
                      <a:avLst/>
                    </a:prstGeom>
                    <a:noFill/>
                    <a:ln>
                      <a:noFill/>
                    </a:ln>
                  </pic:spPr>
                </pic:pic>
              </a:graphicData>
            </a:graphic>
          </wp:anchor>
        </w:drawing>
      </w:r>
      <w:r>
        <w:rPr>
          <w:rFonts w:ascii="LUIWBT+å®ä½" w:hAnsi="LUIWBT+å®ä½" w:eastAsia="Times New Roman" w:cs="LUIWBT+å®ä½"/>
          <w:color w:val="000000"/>
          <w:spacing w:val="1"/>
          <w:sz w:val="22"/>
          <w:szCs w:val="22"/>
        </w:rPr>
        <w:t>条款号</w:t>
      </w:r>
      <w:r>
        <w:rPr>
          <w:rFonts w:hint="eastAsia" w:ascii="LUIWBT+å®ä½" w:hAnsi="LUIWBT+å®ä½" w:cs="LUIWBT+å®ä½"/>
          <w:color w:val="000000"/>
          <w:spacing w:val="1"/>
          <w:sz w:val="22"/>
          <w:szCs w:val="22"/>
          <w:lang w:val="en-US" w:eastAsia="zh-CN"/>
        </w:rPr>
        <w:t xml:space="preserve">                                          </w:t>
      </w:r>
      <w:r>
        <w:rPr>
          <w:rFonts w:ascii="LUIWBT+å®ä½" w:hAnsi="LUIWBT+å®ä½" w:eastAsia="Times New Roman" w:cs="LUIWBT+å®ä½"/>
          <w:color w:val="000000"/>
          <w:spacing w:val="1"/>
          <w:sz w:val="22"/>
          <w:szCs w:val="22"/>
        </w:rPr>
        <w:t>评审因素与标准</w:t>
      </w:r>
    </w:p>
    <w:p>
      <w:pPr>
        <w:spacing w:before="161" w:line="221" w:lineRule="exact"/>
        <w:ind w:left="2996"/>
        <w:rPr>
          <w:rFonts w:hAnsi="Calibri" w:eastAsia="Times New Roman"/>
          <w:color w:val="000000"/>
          <w:sz w:val="21"/>
          <w:szCs w:val="22"/>
        </w:rPr>
      </w:pPr>
      <w:r>
        <w:rPr>
          <w:rFonts w:ascii="LUIWBT+å®ä½" w:hAnsi="LUIWBT+å®ä½" w:eastAsia="Times New Roman" w:cs="LUIWBT+å®ä½"/>
          <w:color w:val="000000"/>
          <w:spacing w:val="3"/>
          <w:sz w:val="21"/>
          <w:szCs w:val="22"/>
        </w:rPr>
        <w:t>除按第二章“投标人须知”第</w:t>
      </w:r>
      <w:r>
        <w:rPr>
          <w:rFonts w:hAnsi="Calibri" w:eastAsia="Times New Roman"/>
          <w:color w:val="000000"/>
          <w:spacing w:val="63"/>
          <w:sz w:val="21"/>
          <w:szCs w:val="22"/>
        </w:rPr>
        <w:t xml:space="preserve"> </w:t>
      </w:r>
      <w:r>
        <w:rPr>
          <w:rFonts w:ascii="HNNKJN+å®ä½" w:hAnsi="Calibri" w:eastAsia="Times New Roman"/>
          <w:color w:val="000000"/>
          <w:spacing w:val="-1"/>
          <w:sz w:val="21"/>
          <w:szCs w:val="22"/>
        </w:rPr>
        <w:t>5.2.4</w:t>
      </w:r>
      <w:r>
        <w:rPr>
          <w:rFonts w:ascii="HNNKJN+å®ä½" w:hAnsi="Calibri" w:eastAsia="Times New Roman"/>
          <w:color w:val="000000"/>
          <w:spacing w:val="2"/>
          <w:sz w:val="21"/>
          <w:szCs w:val="22"/>
        </w:rPr>
        <w:t xml:space="preserve"> </w:t>
      </w:r>
      <w:r>
        <w:rPr>
          <w:rFonts w:ascii="LUIWBT+å®ä½" w:hAnsi="LUIWBT+å®ä½" w:eastAsia="Times New Roman" w:cs="LUIWBT+å®ä½"/>
          <w:color w:val="000000"/>
          <w:spacing w:val="3"/>
          <w:sz w:val="21"/>
          <w:szCs w:val="22"/>
        </w:rPr>
        <w:t>项规定开标现场被宣布为不进入评标</w:t>
      </w:r>
    </w:p>
    <w:p>
      <w:pPr>
        <w:spacing w:before="187" w:line="221" w:lineRule="exact"/>
        <w:ind w:left="2579"/>
        <w:rPr>
          <w:rFonts w:hAnsi="Calibri" w:eastAsia="Times New Roman"/>
          <w:color w:val="000000"/>
          <w:sz w:val="21"/>
          <w:szCs w:val="22"/>
        </w:rPr>
      </w:pPr>
      <w:r>
        <w:rPr>
          <w:rFonts w:ascii="LUIWBT+å®ä½" w:hAnsi="LUIWBT+å®ä½" w:eastAsia="Times New Roman" w:cs="LUIWBT+å®ä½"/>
          <w:color w:val="000000"/>
          <w:spacing w:val="3"/>
          <w:sz w:val="21"/>
          <w:szCs w:val="22"/>
        </w:rPr>
        <w:t>基准价计算的投标报价之外，</w:t>
      </w:r>
      <w:r>
        <w:rPr>
          <w:rFonts w:hAnsi="Calibri" w:eastAsia="Times New Roman"/>
          <w:color w:val="000000"/>
          <w:spacing w:val="58"/>
          <w:sz w:val="21"/>
          <w:szCs w:val="22"/>
        </w:rPr>
        <w:t xml:space="preserve"> </w:t>
      </w:r>
      <w:r>
        <w:rPr>
          <w:rFonts w:ascii="LUIWBT+å®ä½" w:hAnsi="LUIWBT+å®ä½" w:eastAsia="Times New Roman" w:cs="LUIWBT+å®ä½"/>
          <w:color w:val="000000"/>
          <w:spacing w:val="3"/>
          <w:sz w:val="21"/>
          <w:szCs w:val="22"/>
        </w:rPr>
        <w:t>所有投标人的评标价去掉一个最高值和一个最低</w:t>
      </w:r>
    </w:p>
    <w:p>
      <w:pPr>
        <w:spacing w:before="187" w:line="221" w:lineRule="exact"/>
        <w:ind w:left="2579"/>
        <w:rPr>
          <w:rFonts w:hAnsi="Calibri" w:eastAsia="Times New Roman"/>
          <w:color w:val="000000"/>
          <w:sz w:val="21"/>
          <w:szCs w:val="22"/>
        </w:rPr>
      </w:pPr>
      <w:r>
        <w:rPr>
          <w:rFonts w:ascii="LUIWBT+å®ä½" w:hAnsi="LUIWBT+å®ä½" w:eastAsia="Times New Roman" w:cs="LUIWBT+å®ä½"/>
          <w:color w:val="000000"/>
          <w:spacing w:val="6"/>
          <w:sz w:val="21"/>
          <w:szCs w:val="22"/>
        </w:rPr>
        <w:t>值后的算术平均值即为评标价平均值（如果参与评标价平均值计算的有效投标</w:t>
      </w:r>
    </w:p>
    <w:p>
      <w:pPr>
        <w:spacing w:before="187" w:line="221" w:lineRule="exact"/>
        <w:ind w:left="2579"/>
        <w:rPr>
          <w:rFonts w:hAnsi="Calibri" w:eastAsia="Times New Roman"/>
          <w:color w:val="000000"/>
          <w:sz w:val="21"/>
          <w:szCs w:val="22"/>
        </w:rPr>
      </w:pPr>
      <w:r>
        <w:rPr>
          <w:rFonts w:ascii="LUIWBT+å®ä½" w:hAnsi="LUIWBT+å®ä½" w:eastAsia="Times New Roman" w:cs="LUIWBT+å®ä½"/>
          <w:color w:val="000000"/>
          <w:spacing w:val="1"/>
          <w:sz w:val="21"/>
          <w:szCs w:val="22"/>
        </w:rPr>
        <w:t>人少于</w:t>
      </w:r>
      <w:r>
        <w:rPr>
          <w:rFonts w:hAnsi="Calibri" w:eastAsia="Times New Roman"/>
          <w:color w:val="000000"/>
          <w:sz w:val="21"/>
          <w:szCs w:val="22"/>
        </w:rPr>
        <w:t xml:space="preserve"> </w:t>
      </w:r>
      <w:r>
        <w:rPr>
          <w:rFonts w:ascii="HNNKJN+å®ä½" w:hAnsi="Calibri" w:eastAsia="Times New Roman"/>
          <w:color w:val="000000"/>
          <w:spacing w:val="53"/>
          <w:sz w:val="21"/>
          <w:szCs w:val="22"/>
        </w:rPr>
        <w:t>5</w:t>
      </w:r>
      <w:r>
        <w:rPr>
          <w:rFonts w:ascii="LUIWBT+å®ä½" w:hAnsi="LUIWBT+å®ä½" w:eastAsia="Times New Roman" w:cs="LUIWBT+å®ä½"/>
          <w:color w:val="000000"/>
          <w:sz w:val="21"/>
          <w:szCs w:val="22"/>
        </w:rPr>
        <w:t>家时，则计算评标价平均值时不去掉最高值和最低值）；</w:t>
      </w:r>
    </w:p>
    <w:p>
      <w:pPr>
        <w:spacing w:before="187" w:line="221" w:lineRule="exact"/>
        <w:ind w:left="2996"/>
        <w:rPr>
          <w:rFonts w:hAnsi="Calibri" w:eastAsia="Times New Roman"/>
          <w:color w:val="000000"/>
          <w:sz w:val="21"/>
          <w:szCs w:val="22"/>
        </w:rPr>
      </w:pPr>
      <w:r>
        <w:rPr>
          <w:rFonts w:ascii="LUIWBT+å®ä½" w:hAnsi="LUIWBT+å®ä½" w:eastAsia="Times New Roman" w:cs="LUIWBT+å®ä½"/>
          <w:color w:val="000000"/>
          <w:spacing w:val="1"/>
          <w:sz w:val="21"/>
          <w:szCs w:val="22"/>
        </w:rPr>
        <w:t>（</w:t>
      </w:r>
      <w:r>
        <w:rPr>
          <w:rFonts w:ascii="HNNKJN+å®ä½" w:hAnsi="Calibri" w:eastAsia="Times New Roman"/>
          <w:color w:val="000000"/>
          <w:spacing w:val="1"/>
          <w:sz w:val="21"/>
          <w:szCs w:val="22"/>
        </w:rPr>
        <w:t>3</w:t>
      </w:r>
      <w:r>
        <w:rPr>
          <w:rFonts w:ascii="LUIWBT+å®ä½" w:hAnsi="LUIWBT+å®ä½" w:eastAsia="Times New Roman" w:cs="LUIWBT+å®ä½"/>
          <w:color w:val="000000"/>
          <w:sz w:val="21"/>
          <w:szCs w:val="22"/>
        </w:rPr>
        <w:t>）评标基准价的确定：</w:t>
      </w:r>
    </w:p>
    <w:p>
      <w:pPr>
        <w:spacing w:before="187" w:line="221" w:lineRule="exact"/>
        <w:ind w:left="2996"/>
        <w:rPr>
          <w:rFonts w:hAnsi="Calibri" w:eastAsia="Times New Roman"/>
          <w:color w:val="000000"/>
          <w:sz w:val="21"/>
          <w:szCs w:val="22"/>
        </w:rPr>
      </w:pPr>
      <w:r>
        <w:rPr>
          <w:rFonts w:ascii="LUIWBT+å®ä½" w:hAnsi="LUIWBT+å®ä½" w:eastAsia="Times New Roman" w:cs="LUIWBT+å®ä½"/>
          <w:color w:val="000000"/>
          <w:sz w:val="21"/>
          <w:szCs w:val="22"/>
        </w:rPr>
        <w:t>方法一：将评标价平均值直接作为评标基准价。</w:t>
      </w:r>
    </w:p>
    <w:p>
      <w:pPr>
        <w:spacing w:before="187" w:line="221" w:lineRule="exact"/>
        <w:ind w:left="2996"/>
        <w:rPr>
          <w:rFonts w:hAnsi="Calibri" w:eastAsia="Times New Roman"/>
          <w:color w:val="000000"/>
          <w:sz w:val="21"/>
          <w:szCs w:val="22"/>
        </w:rPr>
      </w:pPr>
      <w:r>
        <w:rPr>
          <w:rFonts w:ascii="LUIWBT+å®ä½" w:hAnsi="LUIWBT+å®ä½" w:eastAsia="Times New Roman" w:cs="LUIWBT+å®ä½"/>
          <w:color w:val="000000"/>
          <w:sz w:val="21"/>
          <w:szCs w:val="22"/>
        </w:rPr>
        <w:t>方法二：将评标价平均值下浮</w:t>
      </w:r>
      <w:r>
        <w:rPr>
          <w:rFonts w:hAnsi="Calibri" w:eastAsia="Times New Roman"/>
          <w:color w:val="000000"/>
          <w:spacing w:val="156"/>
          <w:sz w:val="21"/>
          <w:szCs w:val="22"/>
        </w:rPr>
        <w:t xml:space="preserve"> </w:t>
      </w:r>
      <w:r>
        <w:rPr>
          <w:rFonts w:ascii="HNNKJN+å®ä½" w:hAnsi="Calibri" w:eastAsia="Times New Roman"/>
          <w:color w:val="000000"/>
          <w:spacing w:val="1"/>
          <w:sz w:val="21"/>
          <w:szCs w:val="22"/>
        </w:rPr>
        <w:t>0.2</w:t>
      </w:r>
      <w:r>
        <w:rPr>
          <w:rFonts w:ascii="HNNKJN+å®ä½" w:hAnsi="Calibri" w:eastAsia="Times New Roman"/>
          <w:color w:val="000000"/>
          <w:spacing w:val="107"/>
          <w:sz w:val="21"/>
          <w:szCs w:val="22"/>
        </w:rPr>
        <w:t xml:space="preserve"> </w:t>
      </w:r>
      <w:r>
        <w:rPr>
          <w:rFonts w:ascii="LUIWBT+å®ä½" w:hAnsi="LUIWBT+å®ä½" w:eastAsia="Times New Roman" w:cs="LUIWBT+å®ä½"/>
          <w:color w:val="000000"/>
          <w:sz w:val="21"/>
          <w:szCs w:val="22"/>
        </w:rPr>
        <w:t>％，作为评标基准价。</w:t>
      </w:r>
    </w:p>
    <w:p>
      <w:pPr>
        <w:spacing w:before="302" w:line="221" w:lineRule="exact"/>
        <w:ind w:left="2943"/>
        <w:rPr>
          <w:rFonts w:hAnsi="Calibri" w:eastAsia="Times New Roman"/>
          <w:color w:val="000000"/>
          <w:sz w:val="21"/>
          <w:szCs w:val="22"/>
        </w:rPr>
      </w:pPr>
      <w:r>
        <w:rPr>
          <w:rFonts w:ascii="LUIWBT+å®ä½" w:hAnsi="LUIWBT+å®ä½" w:eastAsia="Times New Roman" w:cs="LUIWBT+å®ä½"/>
          <w:color w:val="000000"/>
          <w:sz w:val="21"/>
          <w:szCs w:val="22"/>
        </w:rPr>
        <w:t>在评标过程中，评标委员会应对招标人计算的评标基准价进行复核，存在计</w:t>
      </w:r>
    </w:p>
    <w:p>
      <w:pPr>
        <w:spacing w:before="177" w:line="221" w:lineRule="exact"/>
        <w:ind w:left="2521"/>
        <w:rPr>
          <w:rFonts w:hAnsi="Calibri" w:eastAsia="Times New Roman"/>
          <w:color w:val="000000"/>
          <w:sz w:val="21"/>
          <w:szCs w:val="22"/>
        </w:rPr>
      </w:pPr>
      <w:r>
        <w:rPr>
          <w:rFonts w:ascii="LUIWBT+å®ä½" w:hAnsi="LUIWBT+å®ä½" w:eastAsia="Times New Roman" w:cs="LUIWBT+å®ä½"/>
          <w:color w:val="000000"/>
          <w:sz w:val="21"/>
          <w:szCs w:val="22"/>
        </w:rPr>
        <w:t>算错误的应予以修正并在评标报告中作出说明。除此之外，评标基准价在整个评</w:t>
      </w:r>
    </w:p>
    <w:p>
      <w:pPr>
        <w:spacing w:before="177" w:after="341" w:line="221" w:lineRule="exact"/>
        <w:ind w:left="2521"/>
        <w:rPr>
          <w:rFonts w:hAnsi="Calibri" w:eastAsia="Times New Roman"/>
          <w:color w:val="000000"/>
          <w:sz w:val="21"/>
          <w:szCs w:val="22"/>
        </w:rPr>
      </w:pPr>
      <w:r>
        <w:rPr>
          <w:rFonts w:ascii="LUIWBT+å®ä½" w:hAnsi="LUIWBT+å®ä½" w:eastAsia="Times New Roman" w:cs="LUIWBT+å®ä½"/>
          <w:color w:val="000000"/>
          <w:sz w:val="21"/>
          <w:szCs w:val="22"/>
        </w:rPr>
        <w:t>标期间保持不变，不随任何因素发生变化。</w:t>
      </w:r>
    </w:p>
    <w:tbl>
      <w:tblPr>
        <w:tblStyle w:val="2"/>
        <w:tblW w:w="0" w:type="auto"/>
        <w:tblInd w:w="0" w:type="dxa"/>
        <w:tblLayout w:type="autofit"/>
        <w:tblCellMar>
          <w:top w:w="0" w:type="dxa"/>
          <w:left w:w="0" w:type="dxa"/>
          <w:bottom w:w="0" w:type="dxa"/>
          <w:right w:w="0" w:type="dxa"/>
        </w:tblCellMar>
      </w:tblPr>
      <w:tblGrid>
        <w:gridCol w:w="96"/>
        <w:gridCol w:w="859"/>
        <w:gridCol w:w="20"/>
        <w:gridCol w:w="1737"/>
        <w:gridCol w:w="20"/>
        <w:gridCol w:w="5332"/>
      </w:tblGrid>
      <w:tr>
        <w:tblPrEx>
          <w:tblCellMar>
            <w:top w:w="0" w:type="dxa"/>
            <w:left w:w="0" w:type="dxa"/>
            <w:bottom w:w="0" w:type="dxa"/>
            <w:right w:w="0" w:type="dxa"/>
          </w:tblCellMar>
        </w:tblPrEx>
        <w:trPr>
          <w:trHeight w:val="619" w:hRule="atLeast"/>
        </w:trPr>
        <w:tc>
          <w:tcPr>
            <w:tcW w:w="96" w:type="dxa"/>
            <w:noWrap w:val="0"/>
            <w:vAlign w:val="top"/>
          </w:tcPr>
          <w:p>
            <w:pPr>
              <w:spacing w:line="0" w:lineRule="atLeast"/>
              <w:rPr>
                <w:rFonts w:hAnsi="Calibri" w:eastAsia="Times New Roman"/>
                <w:color w:val="000000"/>
                <w:sz w:val="21"/>
                <w:szCs w:val="22"/>
              </w:rPr>
            </w:pPr>
          </w:p>
        </w:tc>
        <w:tc>
          <w:tcPr>
            <w:tcW w:w="859" w:type="dxa"/>
            <w:noWrap w:val="0"/>
            <w:vAlign w:val="top"/>
          </w:tcPr>
          <w:p>
            <w:pPr>
              <w:spacing w:before="197" w:line="221" w:lineRule="exact"/>
              <w:rPr>
                <w:rFonts w:ascii="HNNKJN+å®ä½" w:hAnsi="Calibri" w:eastAsia="Times New Roman"/>
                <w:color w:val="000000"/>
                <w:sz w:val="22"/>
                <w:szCs w:val="22"/>
                <w:lang w:eastAsia="en-US"/>
              </w:rPr>
            </w:pPr>
            <w:r>
              <w:rPr>
                <w:rFonts w:ascii="HNNKJN+å®ä½" w:hAnsi="Calibri" w:eastAsia="Times New Roman"/>
                <w:color w:val="000000"/>
                <w:sz w:val="22"/>
                <w:szCs w:val="22"/>
                <w:lang w:eastAsia="en-US"/>
              </w:rPr>
              <w:t>2.2.3</w:t>
            </w:r>
          </w:p>
        </w:tc>
        <w:tc>
          <w:tcPr>
            <w:tcW w:w="20" w:type="dxa"/>
            <w:noWrap w:val="0"/>
            <w:vAlign w:val="top"/>
          </w:tcPr>
          <w:p>
            <w:pPr>
              <w:spacing w:line="0" w:lineRule="atLeast"/>
              <w:rPr>
                <w:rFonts w:ascii="HNNKJN+å®ä½" w:hAnsi="Calibri" w:eastAsia="Times New Roman"/>
                <w:color w:val="000000"/>
                <w:sz w:val="22"/>
                <w:szCs w:val="22"/>
                <w:lang w:eastAsia="en-US"/>
              </w:rPr>
            </w:pPr>
          </w:p>
        </w:tc>
        <w:tc>
          <w:tcPr>
            <w:tcW w:w="1737" w:type="dxa"/>
            <w:noWrap w:val="0"/>
            <w:vAlign w:val="top"/>
          </w:tcPr>
          <w:p>
            <w:pPr>
              <w:spacing w:line="221" w:lineRule="exact"/>
              <w:rPr>
                <w:rFonts w:hAnsi="Calibri" w:eastAsia="Times New Roman"/>
                <w:color w:val="000000"/>
                <w:sz w:val="22"/>
                <w:szCs w:val="22"/>
              </w:rPr>
            </w:pPr>
            <w:r>
              <w:rPr>
                <w:rFonts w:ascii="LUIWBT+å®ä½" w:hAnsi="LUIWBT+å®ä½" w:eastAsia="Times New Roman" w:cs="LUIWBT+å®ä½"/>
                <w:color w:val="000000"/>
                <w:spacing w:val="1"/>
                <w:sz w:val="22"/>
                <w:szCs w:val="22"/>
              </w:rPr>
              <w:t>评标价的偏差</w:t>
            </w:r>
          </w:p>
          <w:p>
            <w:pPr>
              <w:spacing w:before="178" w:line="221" w:lineRule="exact"/>
              <w:ind w:left="110"/>
              <w:rPr>
                <w:rFonts w:hAnsi="Calibri" w:eastAsia="Times New Roman"/>
                <w:color w:val="000000"/>
                <w:sz w:val="22"/>
                <w:szCs w:val="22"/>
              </w:rPr>
            </w:pPr>
            <w:r>
              <w:rPr>
                <w:rFonts w:ascii="LUIWBT+å®ä½" w:hAnsi="LUIWBT+å®ä½" w:eastAsia="Times New Roman" w:cs="LUIWBT+å®ä½"/>
                <w:color w:val="000000"/>
                <w:spacing w:val="1"/>
                <w:sz w:val="22"/>
                <w:szCs w:val="22"/>
              </w:rPr>
              <w:t>率计算公式</w:t>
            </w:r>
          </w:p>
        </w:tc>
        <w:tc>
          <w:tcPr>
            <w:tcW w:w="20" w:type="dxa"/>
            <w:noWrap w:val="0"/>
            <w:vAlign w:val="top"/>
          </w:tcPr>
          <w:p>
            <w:pPr>
              <w:spacing w:line="0" w:lineRule="atLeast"/>
              <w:rPr>
                <w:rFonts w:hAnsi="Calibri" w:eastAsia="Times New Roman"/>
                <w:color w:val="000000"/>
                <w:sz w:val="22"/>
                <w:szCs w:val="22"/>
              </w:rPr>
            </w:pPr>
          </w:p>
        </w:tc>
        <w:tc>
          <w:tcPr>
            <w:tcW w:w="5332" w:type="dxa"/>
            <w:noWrap w:val="0"/>
            <w:vAlign w:val="top"/>
          </w:tcPr>
          <w:p>
            <w:pPr>
              <w:spacing w:before="8" w:line="211" w:lineRule="exact"/>
              <w:rPr>
                <w:rFonts w:hAnsi="Calibri" w:eastAsia="Times New Roman"/>
                <w:color w:val="000000"/>
                <w:sz w:val="21"/>
                <w:szCs w:val="22"/>
              </w:rPr>
            </w:pPr>
            <w:r>
              <w:rPr>
                <w:rFonts w:ascii="LUIWBT+å®ä½" w:hAnsi="LUIWBT+å®ä½" w:eastAsia="Times New Roman" w:cs="LUIWBT+å®ä½"/>
                <w:color w:val="000000"/>
                <w:spacing w:val="1"/>
                <w:sz w:val="21"/>
                <w:szCs w:val="22"/>
              </w:rPr>
              <w:t>偏差率</w:t>
            </w:r>
            <w:r>
              <w:rPr>
                <w:rFonts w:ascii="HNNKJN+å®ä½" w:hAnsi="Calibri" w:eastAsia="Times New Roman"/>
                <w:color w:val="000000"/>
                <w:sz w:val="21"/>
                <w:szCs w:val="22"/>
              </w:rPr>
              <w:t>=100%*</w:t>
            </w:r>
            <w:r>
              <w:rPr>
                <w:rFonts w:ascii="LUIWBT+å®ä½" w:hAnsi="LUIWBT+å®ä½" w:eastAsia="Times New Roman" w:cs="LUIWBT+å®ä½"/>
                <w:color w:val="000000"/>
                <w:spacing w:val="1"/>
                <w:sz w:val="21"/>
                <w:szCs w:val="22"/>
              </w:rPr>
              <w:t>（投标人评标价</w:t>
            </w:r>
            <w:r>
              <w:rPr>
                <w:rFonts w:ascii="HNNKJN+å®ä½" w:hAnsi="Calibri" w:eastAsia="Times New Roman"/>
                <w:color w:val="000000"/>
                <w:spacing w:val="-4"/>
                <w:sz w:val="21"/>
                <w:szCs w:val="22"/>
              </w:rPr>
              <w:t>-</w:t>
            </w:r>
            <w:r>
              <w:rPr>
                <w:rFonts w:ascii="LUIWBT+å®ä½" w:hAnsi="LUIWBT+å®ä½" w:eastAsia="Times New Roman" w:cs="LUIWBT+å®ä½"/>
                <w:color w:val="000000"/>
                <w:sz w:val="21"/>
                <w:szCs w:val="22"/>
              </w:rPr>
              <w:t>评标基准价）</w:t>
            </w:r>
            <w:r>
              <w:rPr>
                <w:rFonts w:ascii="HNNKJN+å®ä½" w:hAnsi="Calibri" w:eastAsia="Times New Roman"/>
                <w:color w:val="000000"/>
                <w:spacing w:val="1"/>
                <w:sz w:val="21"/>
                <w:szCs w:val="22"/>
              </w:rPr>
              <w:t>/</w:t>
            </w:r>
            <w:r>
              <w:rPr>
                <w:rFonts w:ascii="LUIWBT+å®ä½" w:hAnsi="LUIWBT+å®ä½" w:eastAsia="Times New Roman" w:cs="LUIWBT+å®ä½"/>
                <w:color w:val="000000"/>
                <w:spacing w:val="-1"/>
                <w:sz w:val="21"/>
                <w:szCs w:val="22"/>
              </w:rPr>
              <w:t>评标基准价</w:t>
            </w:r>
          </w:p>
          <w:p>
            <w:pPr>
              <w:spacing w:before="187" w:line="211" w:lineRule="exact"/>
              <w:rPr>
                <w:rFonts w:hAnsi="Calibri" w:eastAsia="Times New Roman"/>
                <w:color w:val="000000"/>
                <w:sz w:val="21"/>
                <w:szCs w:val="22"/>
              </w:rPr>
            </w:pPr>
            <w:r>
              <w:rPr>
                <w:rFonts w:ascii="LUIWBT+å®ä½" w:hAnsi="LUIWBT+å®ä½" w:eastAsia="Times New Roman" w:cs="LUIWBT+å®ä½"/>
                <w:color w:val="000000"/>
                <w:spacing w:val="-1"/>
                <w:sz w:val="21"/>
                <w:szCs w:val="22"/>
              </w:rPr>
              <w:t>偏差率保留小数点后两位，小数点后第三位“四舍五入”</w:t>
            </w:r>
          </w:p>
        </w:tc>
      </w:tr>
    </w:tbl>
    <w:p>
      <w:pPr>
        <w:spacing w:before="551" w:line="221" w:lineRule="exact"/>
        <w:ind w:left="2943"/>
        <w:rPr>
          <w:rFonts w:ascii="HNNKJN+å®ä½" w:hAnsi="Calibri" w:eastAsia="Times New Roman"/>
          <w:color w:val="000000"/>
          <w:sz w:val="21"/>
          <w:szCs w:val="22"/>
        </w:rPr>
      </w:pPr>
      <w:r>
        <w:rPr>
          <w:rFonts w:ascii="LUIWBT+å®ä½" w:hAnsi="LUIWBT+å®ä½" w:eastAsia="Times New Roman" w:cs="LUIWBT+å®ä½"/>
          <w:color w:val="000000"/>
          <w:spacing w:val="1"/>
          <w:sz w:val="21"/>
          <w:szCs w:val="22"/>
        </w:rPr>
        <w:t>基准值公式</w:t>
      </w:r>
      <w:r>
        <w:rPr>
          <w:rFonts w:ascii="HNNKJN+å®ä½" w:hAnsi="Calibri" w:eastAsia="Times New Roman"/>
          <w:color w:val="000000"/>
          <w:sz w:val="21"/>
          <w:szCs w:val="22"/>
        </w:rPr>
        <w:t>:</w:t>
      </w:r>
    </w:p>
    <w:p>
      <w:pPr>
        <w:spacing w:before="178" w:line="221" w:lineRule="exact"/>
        <w:ind w:left="2943"/>
        <w:rPr>
          <w:rFonts w:hAnsi="Calibri" w:eastAsia="Times New Roman"/>
          <w:color w:val="000000"/>
          <w:sz w:val="21"/>
          <w:szCs w:val="22"/>
        </w:rPr>
      </w:pPr>
      <w:r>
        <w:rPr>
          <w:rFonts w:ascii="HNNKJN+å®ä½" w:hAnsi="Calibri" w:eastAsia="Times New Roman"/>
          <w:color w:val="0000FF"/>
          <w:spacing w:val="1"/>
          <w:sz w:val="21"/>
          <w:szCs w:val="22"/>
        </w:rPr>
        <w:t>1.</w:t>
      </w:r>
      <w:r>
        <w:rPr>
          <w:rFonts w:ascii="HNNKJN+å®ä½" w:hAnsi="Calibri" w:eastAsia="Times New Roman"/>
          <w:color w:val="0000FF"/>
          <w:spacing w:val="-19"/>
          <w:sz w:val="21"/>
          <w:szCs w:val="22"/>
        </w:rPr>
        <w:t xml:space="preserve"> </w:t>
      </w:r>
      <w:r>
        <w:rPr>
          <w:rFonts w:ascii="LUIWBT+å®ä½" w:hAnsi="LUIWBT+å®ä½" w:eastAsia="Times New Roman" w:cs="LUIWBT+å®ä½"/>
          <w:color w:val="000000"/>
          <w:sz w:val="21"/>
          <w:szCs w:val="22"/>
        </w:rPr>
        <w:t>所有参与计算的投标人的评标价去掉一个最高值和一个最低值后的算术平</w:t>
      </w:r>
    </w:p>
    <w:p>
      <w:pPr>
        <w:spacing w:before="177" w:line="221" w:lineRule="exact"/>
        <w:ind w:left="2521"/>
        <w:rPr>
          <w:rFonts w:hAnsi="Calibri" w:eastAsia="Times New Roman"/>
          <w:color w:val="000000"/>
          <w:sz w:val="21"/>
          <w:szCs w:val="22"/>
        </w:rPr>
      </w:pPr>
      <w:r>
        <w:rPr>
          <w:rFonts w:ascii="LUIWBT+å®ä½" w:hAnsi="LUIWBT+å®ä½" w:eastAsia="Times New Roman" w:cs="LUIWBT+å®ä½"/>
          <w:color w:val="000000"/>
          <w:sz w:val="21"/>
          <w:szCs w:val="22"/>
        </w:rPr>
        <w:t>均值即为评标价平均值</w:t>
      </w:r>
      <w:r>
        <w:rPr>
          <w:rFonts w:ascii="HNNKJN+å®ä½" w:hAnsi="Calibri" w:eastAsia="Times New Roman"/>
          <w:color w:val="000000"/>
          <w:spacing w:val="1"/>
          <w:sz w:val="21"/>
          <w:szCs w:val="22"/>
        </w:rPr>
        <w:t>(</w:t>
      </w:r>
      <w:r>
        <w:rPr>
          <w:rFonts w:ascii="LUIWBT+å®ä½" w:hAnsi="LUIWBT+å®ä½" w:eastAsia="Times New Roman" w:cs="LUIWBT+å®ä½"/>
          <w:color w:val="000000"/>
          <w:sz w:val="21"/>
          <w:szCs w:val="22"/>
        </w:rPr>
        <w:t>如果参与评标价平均值计算的有效投标人少于</w:t>
      </w:r>
      <w:r>
        <w:rPr>
          <w:rFonts w:ascii="HNNKJN+å®ä½" w:hAnsi="Calibri" w:eastAsia="Times New Roman"/>
          <w:color w:val="000000"/>
          <w:spacing w:val="1"/>
          <w:sz w:val="21"/>
          <w:szCs w:val="22"/>
        </w:rPr>
        <w:t>5</w:t>
      </w:r>
      <w:r>
        <w:rPr>
          <w:rFonts w:ascii="LUIWBT+å®ä½" w:hAnsi="LUIWBT+å®ä½" w:eastAsia="Times New Roman" w:cs="LUIWBT+å®ä½"/>
          <w:color w:val="000000"/>
          <w:sz w:val="21"/>
          <w:szCs w:val="22"/>
        </w:rPr>
        <w:t>家时，则</w:t>
      </w:r>
    </w:p>
    <w:p>
      <w:pPr>
        <w:spacing w:before="182" w:line="221" w:lineRule="exact"/>
        <w:ind w:left="2521"/>
        <w:rPr>
          <w:rFonts w:hAnsi="Calibri" w:eastAsia="Times New Roman"/>
          <w:color w:val="000000"/>
          <w:sz w:val="21"/>
          <w:szCs w:val="22"/>
        </w:rPr>
      </w:pPr>
      <w:r>
        <w:rPr>
          <w:rFonts w:ascii="LUIWBT+å®ä½" w:hAnsi="LUIWBT+å®ä½" w:eastAsia="Times New Roman" w:cs="LUIWBT+å®ä½"/>
          <w:color w:val="000000"/>
          <w:sz w:val="21"/>
          <w:szCs w:val="22"/>
        </w:rPr>
        <w:t>计算评标价平均值时不去掉最高值和最低值</w:t>
      </w:r>
      <w:r>
        <w:rPr>
          <w:rFonts w:ascii="HNNKJN+å®ä½" w:hAnsi="Calibri" w:eastAsia="Times New Roman"/>
          <w:color w:val="000000"/>
          <w:spacing w:val="1"/>
          <w:sz w:val="21"/>
          <w:szCs w:val="22"/>
        </w:rPr>
        <w:t>)</w:t>
      </w:r>
      <w:r>
        <w:rPr>
          <w:rFonts w:ascii="LUIWBT+å®ä½" w:hAnsi="LUIWBT+å®ä½" w:eastAsia="Times New Roman" w:cs="LUIWBT+å®ä½"/>
          <w:color w:val="000000"/>
          <w:spacing w:val="-1"/>
          <w:sz w:val="21"/>
          <w:szCs w:val="22"/>
        </w:rPr>
        <w:t>，将评标</w:t>
      </w:r>
      <w:r>
        <w:rPr>
          <w:rFonts w:ascii="LUIWBT+å®ä½" w:hAnsi="LUIWBT+å®ä½" w:eastAsia="Times New Roman" w:cs="LUIWBT+å®ä½"/>
          <w:color w:val="0000FF"/>
          <w:sz w:val="21"/>
          <w:szCs w:val="22"/>
        </w:rPr>
        <w:t>价平均值下浮</w:t>
      </w:r>
      <w:r>
        <w:rPr>
          <w:rFonts w:hAnsi="Calibri" w:eastAsia="Times New Roman"/>
          <w:color w:val="0000FF"/>
          <w:spacing w:val="160"/>
          <w:sz w:val="21"/>
          <w:szCs w:val="22"/>
        </w:rPr>
        <w:t xml:space="preserve"> </w:t>
      </w:r>
      <w:r>
        <w:rPr>
          <w:rFonts w:ascii="HNNKJN+å®ä½" w:hAnsi="Calibri" w:eastAsia="Times New Roman"/>
          <w:color w:val="0000FF"/>
          <w:spacing w:val="1"/>
          <w:sz w:val="21"/>
          <w:szCs w:val="22"/>
        </w:rPr>
        <w:t>0.2</w:t>
      </w:r>
      <w:r>
        <w:rPr>
          <w:rFonts w:ascii="HNNKJN+å®ä½" w:hAnsi="Calibri" w:eastAsia="Times New Roman"/>
          <w:color w:val="0000FF"/>
          <w:spacing w:val="207"/>
          <w:sz w:val="21"/>
          <w:szCs w:val="22"/>
        </w:rPr>
        <w:t xml:space="preserve"> </w:t>
      </w:r>
      <w:r>
        <w:rPr>
          <w:rFonts w:ascii="HNNKJN+å®ä½" w:hAnsi="Calibri" w:eastAsia="Times New Roman"/>
          <w:color w:val="0000FF"/>
          <w:spacing w:val="1"/>
          <w:sz w:val="21"/>
          <w:szCs w:val="22"/>
        </w:rPr>
        <w:t>%</w:t>
      </w:r>
      <w:r>
        <w:rPr>
          <w:rFonts w:ascii="LUIWBT+å®ä½" w:hAnsi="LUIWBT+å®ä½" w:eastAsia="Times New Roman" w:cs="LUIWBT+å®ä½"/>
          <w:color w:val="0000FF"/>
          <w:sz w:val="21"/>
          <w:szCs w:val="22"/>
        </w:rPr>
        <w:t>，</w:t>
      </w:r>
    </w:p>
    <w:p>
      <w:pPr>
        <w:spacing w:before="177" w:line="221" w:lineRule="exact"/>
        <w:ind w:left="2521"/>
        <w:rPr>
          <w:rFonts w:hAnsi="Calibri" w:eastAsia="Times New Roman"/>
          <w:color w:val="000000"/>
          <w:sz w:val="21"/>
          <w:szCs w:val="22"/>
        </w:rPr>
      </w:pPr>
      <w:r>
        <w:rPr>
          <w:rFonts w:ascii="LUIWBT+å®ä½" w:hAnsi="LUIWBT+å®ä½" w:eastAsia="Times New Roman" w:cs="LUIWBT+å®ä½"/>
          <w:color w:val="0000FF"/>
          <w:spacing w:val="1"/>
          <w:sz w:val="21"/>
          <w:szCs w:val="22"/>
        </w:rPr>
        <w:t>作为评标基准价。</w:t>
      </w:r>
    </w:p>
    <w:p>
      <w:pPr>
        <w:spacing w:before="169" w:line="231" w:lineRule="exact"/>
        <w:ind w:left="96"/>
        <w:rPr>
          <w:rFonts w:hAnsi="Calibri" w:eastAsia="Times New Roman"/>
          <w:color w:val="000000"/>
          <w:sz w:val="21"/>
          <w:szCs w:val="22"/>
        </w:rPr>
      </w:pPr>
      <w:r>
        <w:rPr>
          <w:rFonts w:ascii="HNNKJN+å®ä½" w:hAnsi="Calibri" w:eastAsia="Times New Roman"/>
          <w:color w:val="000000"/>
          <w:sz w:val="22"/>
          <w:szCs w:val="22"/>
        </w:rPr>
        <w:t>2.2.4</w:t>
      </w:r>
      <w:r>
        <w:rPr>
          <w:rFonts w:hint="eastAsia" w:ascii="HNNKJN+å®ä½" w:hAnsi="Calibri"/>
          <w:color w:val="000000"/>
          <w:sz w:val="22"/>
          <w:szCs w:val="22"/>
          <w:lang w:val="en-US" w:eastAsia="zh-CN"/>
        </w:rPr>
        <w:t xml:space="preserve">   </w:t>
      </w:r>
      <w:r>
        <w:rPr>
          <w:rFonts w:ascii="LUIWBT+å®ä½" w:hAnsi="LUIWBT+å®ä½" w:eastAsia="Times New Roman" w:cs="LUIWBT+å®ä½"/>
          <w:color w:val="000000"/>
          <w:spacing w:val="1"/>
          <w:sz w:val="22"/>
          <w:szCs w:val="22"/>
        </w:rPr>
        <w:t>评标价得分</w:t>
      </w:r>
      <w:r>
        <w:rPr>
          <w:rFonts w:hint="eastAsia" w:ascii="LUIWBT+å®ä½" w:hAnsi="LUIWBT+å®ä½" w:cs="LUIWBT+å®ä½"/>
          <w:color w:val="000000"/>
          <w:spacing w:val="1"/>
          <w:sz w:val="22"/>
          <w:szCs w:val="22"/>
          <w:lang w:val="en-US" w:eastAsia="zh-CN"/>
        </w:rPr>
        <w:t xml:space="preserve">      </w:t>
      </w:r>
      <w:r>
        <w:rPr>
          <w:rFonts w:ascii="HNNKJN+å®ä½" w:hAnsi="Calibri" w:eastAsia="Times New Roman"/>
          <w:color w:val="000000"/>
          <w:spacing w:val="1"/>
          <w:sz w:val="21"/>
          <w:szCs w:val="22"/>
        </w:rPr>
        <w:t>2.</w:t>
      </w:r>
      <w:r>
        <w:rPr>
          <w:rFonts w:ascii="HNNKJN+å®ä½" w:hAnsi="Calibri" w:eastAsia="Times New Roman"/>
          <w:color w:val="000000"/>
          <w:spacing w:val="-19"/>
          <w:sz w:val="21"/>
          <w:szCs w:val="22"/>
        </w:rPr>
        <w:t xml:space="preserve"> </w:t>
      </w:r>
      <w:r>
        <w:rPr>
          <w:rFonts w:ascii="LUIWBT+å®ä½" w:hAnsi="LUIWBT+å®ä½" w:eastAsia="Times New Roman" w:cs="LUIWBT+å®ä½"/>
          <w:color w:val="000000"/>
          <w:sz w:val="21"/>
          <w:szCs w:val="22"/>
        </w:rPr>
        <w:t>所有参与计算的投标人的评标价去掉一个最高值和一个最低值后的算术平</w:t>
      </w:r>
    </w:p>
    <w:p>
      <w:pPr>
        <w:spacing w:before="181" w:line="221" w:lineRule="exact"/>
        <w:ind w:left="2521"/>
        <w:rPr>
          <w:rFonts w:hAnsi="Calibri" w:eastAsia="Times New Roman"/>
          <w:color w:val="000000"/>
          <w:sz w:val="21"/>
          <w:szCs w:val="22"/>
        </w:rPr>
      </w:pPr>
      <w:r>
        <w:rPr>
          <w:rFonts w:ascii="LUIWBT+å®ä½" w:hAnsi="LUIWBT+å®ä½" w:eastAsia="Times New Roman" w:cs="LUIWBT+å®ä½"/>
          <w:color w:val="000000"/>
          <w:sz w:val="21"/>
          <w:szCs w:val="22"/>
        </w:rPr>
        <w:t>均值即为评标价平均值</w:t>
      </w:r>
      <w:r>
        <w:rPr>
          <w:rFonts w:ascii="HNNKJN+å®ä½" w:hAnsi="Calibri" w:eastAsia="Times New Roman"/>
          <w:color w:val="000000"/>
          <w:spacing w:val="1"/>
          <w:sz w:val="21"/>
          <w:szCs w:val="22"/>
        </w:rPr>
        <w:t>(</w:t>
      </w:r>
      <w:r>
        <w:rPr>
          <w:rFonts w:ascii="LUIWBT+å®ä½" w:hAnsi="LUIWBT+å®ä½" w:eastAsia="Times New Roman" w:cs="LUIWBT+å®ä½"/>
          <w:color w:val="000000"/>
          <w:sz w:val="21"/>
          <w:szCs w:val="22"/>
        </w:rPr>
        <w:t>如果参与评标价平均值计算的有效投标人少于</w:t>
      </w:r>
      <w:r>
        <w:rPr>
          <w:rFonts w:ascii="HNNKJN+å®ä½" w:hAnsi="Calibri" w:eastAsia="Times New Roman"/>
          <w:color w:val="000000"/>
          <w:spacing w:val="1"/>
          <w:sz w:val="21"/>
          <w:szCs w:val="22"/>
        </w:rPr>
        <w:t>5</w:t>
      </w:r>
      <w:r>
        <w:rPr>
          <w:rFonts w:ascii="LUIWBT+å®ä½" w:hAnsi="LUIWBT+å®ä½" w:eastAsia="Times New Roman" w:cs="LUIWBT+å®ä½"/>
          <w:color w:val="000000"/>
          <w:sz w:val="21"/>
          <w:szCs w:val="22"/>
        </w:rPr>
        <w:t>家时，则</w:t>
      </w:r>
    </w:p>
    <w:p>
      <w:pPr>
        <w:spacing w:before="177" w:line="221" w:lineRule="exact"/>
        <w:ind w:left="2521"/>
        <w:rPr>
          <w:rFonts w:hAnsi="Calibri" w:eastAsia="Times New Roman"/>
          <w:color w:val="000000"/>
          <w:sz w:val="21"/>
          <w:szCs w:val="22"/>
        </w:rPr>
      </w:pPr>
      <w:r>
        <w:rPr>
          <w:rFonts w:ascii="LUIWBT+å®ä½" w:hAnsi="LUIWBT+å®ä½" w:eastAsia="Times New Roman" w:cs="LUIWBT+å®ä½"/>
          <w:color w:val="000000"/>
          <w:sz w:val="21"/>
          <w:szCs w:val="22"/>
        </w:rPr>
        <w:t>计算评标价平均值时不去掉最高值和最低值</w:t>
      </w:r>
      <w:r>
        <w:rPr>
          <w:rFonts w:ascii="HNNKJN+å®ä½" w:hAnsi="Calibri" w:eastAsia="Times New Roman"/>
          <w:color w:val="000000"/>
          <w:spacing w:val="1"/>
          <w:sz w:val="21"/>
          <w:szCs w:val="22"/>
        </w:rPr>
        <w:t>)</w:t>
      </w:r>
      <w:r>
        <w:rPr>
          <w:rFonts w:ascii="LUIWBT+å®ä½" w:hAnsi="LUIWBT+å®ä½" w:eastAsia="Times New Roman" w:cs="LUIWBT+å®ä½"/>
          <w:color w:val="000000"/>
          <w:sz w:val="21"/>
          <w:szCs w:val="22"/>
        </w:rPr>
        <w:t>，将评标价平均值直接作为评标基准</w:t>
      </w:r>
    </w:p>
    <w:p>
      <w:pPr>
        <w:spacing w:before="177" w:line="221" w:lineRule="exact"/>
        <w:ind w:left="2521"/>
        <w:rPr>
          <w:rFonts w:hAnsi="Calibri" w:eastAsia="Times New Roman"/>
          <w:color w:val="000000"/>
          <w:sz w:val="21"/>
          <w:szCs w:val="22"/>
        </w:rPr>
      </w:pPr>
      <w:r>
        <w:rPr>
          <w:rFonts w:ascii="LUIWBT+å®ä½" w:hAnsi="LUIWBT+å®ä½" w:eastAsia="Times New Roman" w:cs="LUIWBT+å®ä½"/>
          <w:color w:val="000000"/>
          <w:spacing w:val="1"/>
          <w:sz w:val="21"/>
          <w:szCs w:val="22"/>
        </w:rPr>
        <w:t>价。</w:t>
      </w:r>
    </w:p>
    <w:p>
      <w:pPr>
        <w:spacing w:before="182" w:line="221" w:lineRule="exact"/>
        <w:ind w:left="2943"/>
        <w:rPr>
          <w:rFonts w:hAnsi="Calibri" w:eastAsia="Times New Roman"/>
          <w:color w:val="000000"/>
          <w:sz w:val="21"/>
          <w:szCs w:val="22"/>
        </w:rPr>
      </w:pPr>
      <w:r>
        <w:rPr>
          <w:rFonts w:ascii="LUIWBT+å®ä½" w:hAnsi="LUIWBT+å®ä½" w:eastAsia="Times New Roman" w:cs="LUIWBT+å®ä½"/>
          <w:color w:val="000000"/>
          <w:spacing w:val="1"/>
          <w:sz w:val="21"/>
          <w:szCs w:val="22"/>
        </w:rPr>
        <w:t>扣分公式：</w:t>
      </w:r>
    </w:p>
    <w:p>
      <w:pPr>
        <w:spacing w:before="178" w:line="221" w:lineRule="exact"/>
        <w:ind w:left="2943"/>
        <w:rPr>
          <w:rFonts w:ascii="LUIWBT+å®ä½" w:hAnsi="LUIWBT+å®ä½" w:eastAsia="Times New Roman" w:cs="LUIWBT+å®ä½"/>
          <w:color w:val="0000FF"/>
          <w:spacing w:val="1"/>
          <w:sz w:val="21"/>
          <w:szCs w:val="22"/>
        </w:rPr>
      </w:pPr>
      <w:r>
        <w:rPr>
          <w:rFonts w:ascii="LUIWBT+å®ä½" w:hAnsi="LUIWBT+å®ä½" w:eastAsia="Times New Roman" w:cs="LUIWBT+å®ä½"/>
          <w:color w:val="000000"/>
          <w:sz w:val="21"/>
          <w:szCs w:val="22"/>
        </w:rPr>
        <w:t>投标报价与基</w:t>
      </w:r>
      <w:r>
        <w:rPr>
          <w:rFonts w:ascii="LUIWBT+å®ä½" w:hAnsi="LUIWBT+å®ä½" w:eastAsia="Times New Roman" w:cs="LUIWBT+å®ä½"/>
          <w:color w:val="0000FF"/>
          <w:sz w:val="21"/>
          <w:szCs w:val="22"/>
        </w:rPr>
        <w:t>准价相比的差额率，每高</w:t>
      </w:r>
      <w:r>
        <w:rPr>
          <w:rFonts w:hAnsi="Calibri" w:eastAsia="Times New Roman"/>
          <w:color w:val="0000FF"/>
          <w:spacing w:val="50"/>
          <w:sz w:val="21"/>
          <w:szCs w:val="22"/>
        </w:rPr>
        <w:t xml:space="preserve"> </w:t>
      </w:r>
      <w:r>
        <w:rPr>
          <w:rFonts w:ascii="HNNKJN+å®ä½" w:hAnsi="Calibri" w:eastAsia="Times New Roman"/>
          <w:color w:val="0000FF"/>
          <w:spacing w:val="1"/>
          <w:sz w:val="21"/>
          <w:szCs w:val="22"/>
        </w:rPr>
        <w:t>1%</w:t>
      </w:r>
      <w:r>
        <w:rPr>
          <w:rFonts w:ascii="LUIWBT+å®ä½" w:hAnsi="LUIWBT+å®ä½" w:eastAsia="Times New Roman" w:cs="LUIWBT+å®ä½"/>
          <w:color w:val="0000FF"/>
          <w:sz w:val="21"/>
          <w:szCs w:val="22"/>
        </w:rPr>
        <w:t>扣</w:t>
      </w:r>
      <w:r>
        <w:rPr>
          <w:rFonts w:hAnsi="Calibri" w:eastAsia="Times New Roman"/>
          <w:color w:val="0000FF"/>
          <w:spacing w:val="54"/>
          <w:sz w:val="21"/>
          <w:szCs w:val="22"/>
        </w:rPr>
        <w:t xml:space="preserve"> </w:t>
      </w:r>
      <w:r>
        <w:rPr>
          <w:rFonts w:ascii="HNNKJN+å®ä½" w:hAnsi="Calibri" w:eastAsia="Times New Roman"/>
          <w:color w:val="0000FF"/>
          <w:sz w:val="21"/>
          <w:szCs w:val="22"/>
        </w:rPr>
        <w:t>1</w:t>
      </w:r>
      <w:r>
        <w:rPr>
          <w:rFonts w:ascii="HNNKJN+å®ä½" w:hAnsi="Calibri" w:eastAsia="Times New Roman"/>
          <w:color w:val="0000FF"/>
          <w:spacing w:val="-3"/>
          <w:sz w:val="21"/>
          <w:szCs w:val="22"/>
        </w:rPr>
        <w:t xml:space="preserve"> </w:t>
      </w:r>
      <w:r>
        <w:rPr>
          <w:rFonts w:ascii="LUIWBT+å®ä½" w:hAnsi="LUIWBT+å®ä½" w:eastAsia="Times New Roman" w:cs="LUIWBT+å®ä½"/>
          <w:color w:val="0000FF"/>
          <w:sz w:val="21"/>
          <w:szCs w:val="22"/>
        </w:rPr>
        <w:t>分，每低</w:t>
      </w:r>
      <w:r>
        <w:rPr>
          <w:rFonts w:hAnsi="Calibri" w:eastAsia="Times New Roman"/>
          <w:color w:val="0000FF"/>
          <w:spacing w:val="55"/>
          <w:sz w:val="21"/>
          <w:szCs w:val="22"/>
        </w:rPr>
        <w:t xml:space="preserve"> </w:t>
      </w:r>
      <w:r>
        <w:rPr>
          <w:rFonts w:ascii="HNNKJN+å®ä½" w:hAnsi="Calibri" w:eastAsia="Times New Roman"/>
          <w:color w:val="0000FF"/>
          <w:spacing w:val="1"/>
          <w:sz w:val="21"/>
          <w:szCs w:val="22"/>
        </w:rPr>
        <w:t>1%</w:t>
      </w:r>
      <w:r>
        <w:rPr>
          <w:rFonts w:ascii="LUIWBT+å®ä½" w:hAnsi="LUIWBT+å®ä½" w:eastAsia="Times New Roman" w:cs="LUIWBT+å®ä½"/>
          <w:color w:val="0000FF"/>
          <w:sz w:val="21"/>
          <w:szCs w:val="22"/>
        </w:rPr>
        <w:t>扣</w:t>
      </w:r>
      <w:r>
        <w:rPr>
          <w:rFonts w:hAnsi="Calibri" w:eastAsia="Times New Roman"/>
          <w:color w:val="0000FF"/>
          <w:spacing w:val="54"/>
          <w:sz w:val="21"/>
          <w:szCs w:val="22"/>
        </w:rPr>
        <w:t xml:space="preserve"> </w:t>
      </w:r>
      <w:r>
        <w:rPr>
          <w:rFonts w:ascii="HNNKJN+å®ä½" w:hAnsi="Calibri" w:eastAsia="Times New Roman"/>
          <w:color w:val="0000FF"/>
          <w:sz w:val="21"/>
          <w:szCs w:val="22"/>
        </w:rPr>
        <w:t>1</w:t>
      </w:r>
      <w:r>
        <w:rPr>
          <w:rFonts w:ascii="HNNKJN+å®ä½" w:hAnsi="Calibri" w:eastAsia="Times New Roman"/>
          <w:color w:val="0000FF"/>
          <w:spacing w:val="-4"/>
          <w:sz w:val="21"/>
          <w:szCs w:val="22"/>
        </w:rPr>
        <w:t xml:space="preserve"> </w:t>
      </w:r>
      <w:r>
        <w:rPr>
          <w:rFonts w:ascii="LUIWBT+å®ä½" w:hAnsi="LUIWBT+å®ä½" w:eastAsia="Times New Roman" w:cs="LUIWBT+å®ä½"/>
          <w:color w:val="0000FF"/>
          <w:spacing w:val="1"/>
          <w:sz w:val="21"/>
          <w:szCs w:val="22"/>
        </w:rPr>
        <w:t>分。</w:t>
      </w:r>
    </w:p>
    <w:p>
      <w:pPr>
        <w:spacing w:before="178" w:line="221" w:lineRule="exact"/>
        <w:rPr>
          <w:rFonts w:hAnsi="Calibri" w:eastAsia="Times New Roman"/>
          <w:color w:val="000000"/>
          <w:sz w:val="22"/>
          <w:szCs w:val="22"/>
        </w:rPr>
      </w:pPr>
      <w:r>
        <w:rPr>
          <w:rFonts w:ascii="LUIWBT+å®ä½" w:hAnsi="LUIWBT+å®ä½" w:eastAsia="Times New Roman" w:cs="LUIWBT+å®ä½"/>
          <w:color w:val="000000"/>
          <w:spacing w:val="1"/>
          <w:sz w:val="22"/>
          <w:szCs w:val="22"/>
        </w:rPr>
        <w:t>需要补充的其他内容：</w:t>
      </w:r>
    </w:p>
    <w:p>
      <w:pPr>
        <w:spacing w:before="350" w:line="231" w:lineRule="exact"/>
        <w:ind w:left="43"/>
        <w:rPr>
          <w:rFonts w:hAnsi="Calibri" w:eastAsia="Times New Roman"/>
          <w:color w:val="000000"/>
          <w:sz w:val="22"/>
          <w:szCs w:val="22"/>
        </w:rPr>
      </w:pPr>
      <w:r>
        <w:rPr>
          <w:rFonts w:ascii="LUIWBT+å®ä½" w:hAnsi="LUIWBT+å®ä½" w:eastAsia="Times New Roman" w:cs="LUIWBT+å®ä½"/>
          <w:color w:val="000000"/>
          <w:spacing w:val="1"/>
          <w:sz w:val="22"/>
          <w:szCs w:val="22"/>
        </w:rPr>
        <w:t>条款号</w:t>
      </w:r>
      <w:r>
        <w:rPr>
          <w:rFonts w:hint="eastAsia" w:ascii="LUIWBT+å®ä½" w:hAnsi="LUIWBT+å®ä½" w:cs="LUIWBT+å®ä½"/>
          <w:color w:val="000000"/>
          <w:spacing w:val="1"/>
          <w:sz w:val="22"/>
          <w:szCs w:val="22"/>
          <w:lang w:val="en-US" w:eastAsia="zh-CN"/>
        </w:rPr>
        <w:t xml:space="preserve">                                     </w:t>
      </w:r>
      <w:r>
        <w:rPr>
          <w:rFonts w:ascii="LUIWBT+å®ä½" w:hAnsi="LUIWBT+å®ä½" w:eastAsia="Times New Roman" w:cs="LUIWBT+å®ä½"/>
          <w:color w:val="000000"/>
          <w:spacing w:val="1"/>
          <w:sz w:val="22"/>
          <w:szCs w:val="22"/>
        </w:rPr>
        <w:t>编列内容</w:t>
      </w:r>
    </w:p>
    <w:p>
      <w:pPr>
        <w:spacing w:before="259" w:line="231" w:lineRule="exact"/>
        <w:ind w:left="1465"/>
        <w:rPr>
          <w:rFonts w:hAnsi="Calibri" w:eastAsia="Times New Roman"/>
          <w:color w:val="000000"/>
          <w:sz w:val="22"/>
          <w:szCs w:val="22"/>
        </w:rPr>
      </w:pPr>
      <w:r>
        <w:rPr>
          <w:rFonts w:ascii="HNNKJN+å®ä½" w:hAnsi="Calibri" w:eastAsia="Times New Roman"/>
          <w:color w:val="000000"/>
          <w:sz w:val="22"/>
          <w:szCs w:val="22"/>
        </w:rPr>
        <w:t>1.</w:t>
      </w:r>
      <w:r>
        <w:rPr>
          <w:rFonts w:ascii="LUIWBT+å®ä½" w:hAnsi="LUIWBT+å®ä½" w:eastAsia="Times New Roman" w:cs="LUIWBT+å®ä½"/>
          <w:color w:val="000000"/>
          <w:spacing w:val="1"/>
          <w:sz w:val="22"/>
          <w:szCs w:val="22"/>
        </w:rPr>
        <w:t>评标办法</w:t>
      </w:r>
    </w:p>
    <w:p>
      <w:pPr>
        <w:spacing w:before="172" w:line="231" w:lineRule="exact"/>
        <w:ind w:left="1407"/>
        <w:rPr>
          <w:rFonts w:hAnsi="Calibri" w:eastAsia="Times New Roman"/>
          <w:color w:val="000000"/>
          <w:sz w:val="22"/>
          <w:szCs w:val="22"/>
        </w:rPr>
      </w:pPr>
      <w:r>
        <w:rPr>
          <w:rFonts w:ascii="LUIWBT+å®ä½" w:hAnsi="LUIWBT+å®ä½" w:eastAsia="Times New Roman" w:cs="LUIWBT+å®ä½"/>
          <w:color w:val="000000"/>
          <w:spacing w:val="1"/>
          <w:sz w:val="22"/>
          <w:szCs w:val="22"/>
        </w:rPr>
        <w:t>本条细化为：</w:t>
      </w:r>
    </w:p>
    <w:p>
      <w:pPr>
        <w:spacing w:before="168" w:line="231" w:lineRule="exact"/>
        <w:ind w:left="317"/>
        <w:rPr>
          <w:rFonts w:hAnsi="Calibri" w:eastAsia="Times New Roman"/>
          <w:color w:val="000000"/>
          <w:sz w:val="22"/>
          <w:szCs w:val="22"/>
        </w:rPr>
      </w:pPr>
      <w:r>
        <w:rPr>
          <w:rFonts w:ascii="HNNKJN+å®ä½" w:hAnsi="Calibri" w:eastAsia="Times New Roman"/>
          <w:color w:val="000000"/>
          <w:sz w:val="22"/>
          <w:szCs w:val="22"/>
        </w:rPr>
        <w:t>1</w:t>
      </w:r>
      <w:r>
        <w:rPr>
          <w:rFonts w:ascii="HNNKJN+å®ä½" w:hAnsi="Calibri" w:eastAsia="Times New Roman"/>
          <w:color w:val="000000"/>
          <w:spacing w:val="870"/>
          <w:sz w:val="22"/>
          <w:szCs w:val="22"/>
        </w:rPr>
        <w:t xml:space="preserve"> </w:t>
      </w:r>
      <w:r>
        <w:rPr>
          <w:rFonts w:ascii="HNNKJN+å®ä½" w:hAnsi="Calibri" w:eastAsia="Times New Roman"/>
          <w:color w:val="000000"/>
          <w:sz w:val="22"/>
          <w:szCs w:val="22"/>
        </w:rPr>
        <w:t>1.1</w:t>
      </w:r>
      <w:r>
        <w:rPr>
          <w:rFonts w:ascii="LUIWBT+å®ä½" w:hAnsi="LUIWBT+å®ä½" w:eastAsia="Times New Roman" w:cs="LUIWBT+å®ä½"/>
          <w:color w:val="000000"/>
          <w:sz w:val="22"/>
          <w:szCs w:val="22"/>
        </w:rPr>
        <w:t>采用双信封形式合理低价法。</w:t>
      </w:r>
    </w:p>
    <w:p>
      <w:pPr>
        <w:spacing w:before="168" w:line="231" w:lineRule="exact"/>
        <w:ind w:left="1407"/>
        <w:rPr>
          <w:rFonts w:hAnsi="Calibri" w:eastAsia="Times New Roman"/>
          <w:color w:val="000000"/>
          <w:sz w:val="22"/>
          <w:szCs w:val="22"/>
        </w:rPr>
      </w:pPr>
      <w:r>
        <w:rPr>
          <w:rFonts w:ascii="HNNKJN+å®ä½" w:hAnsi="Calibri" w:eastAsia="Times New Roman"/>
          <w:color w:val="000000"/>
          <w:sz w:val="22"/>
          <w:szCs w:val="22"/>
        </w:rPr>
        <w:t>1.1.1</w:t>
      </w:r>
      <w:r>
        <w:rPr>
          <w:rFonts w:ascii="LUIWBT+å®ä½" w:hAnsi="LUIWBT+å®ä½" w:eastAsia="Times New Roman" w:cs="LUIWBT+å®ä½"/>
          <w:color w:val="000000"/>
          <w:sz w:val="22"/>
          <w:szCs w:val="22"/>
        </w:rPr>
        <w:t>评标委员会首先对第一个信封（商务及技术文件）进行初步评审（形式评审与响应</w:t>
      </w:r>
    </w:p>
    <w:p>
      <w:pPr>
        <w:spacing w:before="172" w:line="231" w:lineRule="exact"/>
        <w:ind w:left="965"/>
        <w:rPr>
          <w:rFonts w:hAnsi="Calibri" w:eastAsia="Times New Roman"/>
          <w:color w:val="000000"/>
          <w:sz w:val="22"/>
          <w:szCs w:val="22"/>
        </w:rPr>
      </w:pPr>
      <w:r>
        <w:rPr>
          <w:rFonts w:ascii="LUIWBT+å®ä½" w:hAnsi="LUIWBT+å®ä½" w:eastAsia="Times New Roman" w:cs="LUIWBT+å®ä½"/>
          <w:color w:val="000000"/>
          <w:sz w:val="22"/>
          <w:szCs w:val="22"/>
        </w:rPr>
        <w:t>性评审、资格评审），通过第一个信封初步评审的投标人，进入第二个信封（报价文件）开</w:t>
      </w:r>
    </w:p>
    <w:p>
      <w:pPr>
        <w:spacing w:before="748" w:line="192" w:lineRule="exact"/>
        <w:ind w:left="4936"/>
        <w:rPr>
          <w:rFonts w:ascii="HNNKJN+å®ä½" w:hAnsi="Calibri" w:eastAsia="Times New Roman"/>
          <w:color w:val="000000"/>
          <w:sz w:val="18"/>
          <w:szCs w:val="22"/>
        </w:rPr>
        <w:sectPr>
          <w:pgSz w:w="11900" w:h="16820"/>
          <w:pgMar w:top="1635" w:right="100" w:bottom="0" w:left="932" w:header="720" w:footer="720" w:gutter="0"/>
          <w:pgNumType w:start="1"/>
          <w:cols w:space="720" w:num="1"/>
          <w:docGrid w:linePitch="1" w:charSpace="0"/>
        </w:sectPr>
      </w:pPr>
    </w:p>
    <w:p>
      <w:pPr>
        <w:spacing w:line="231" w:lineRule="exact"/>
        <w:rPr>
          <w:rFonts w:hAnsi="Calibri" w:eastAsia="Times New Roman"/>
          <w:color w:val="000000"/>
          <w:sz w:val="22"/>
          <w:szCs w:val="22"/>
        </w:rPr>
      </w:pPr>
      <w:r>
        <w:drawing>
          <wp:anchor distT="0" distB="0" distL="114300" distR="114300" simplePos="0" relativeHeight="251663360" behindDoc="1" locked="0" layoutInCell="1" allowOverlap="1">
            <wp:simplePos x="0" y="0"/>
            <wp:positionH relativeFrom="page">
              <wp:posOffset>502920</wp:posOffset>
            </wp:positionH>
            <wp:positionV relativeFrom="page">
              <wp:posOffset>875030</wp:posOffset>
            </wp:positionV>
            <wp:extent cx="6557010" cy="8803005"/>
            <wp:effectExtent l="0" t="0" r="15240" b="17145"/>
            <wp:wrapNone/>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9"/>
                    <a:stretch>
                      <a:fillRect/>
                    </a:stretch>
                  </pic:blipFill>
                  <pic:spPr>
                    <a:xfrm>
                      <a:off x="0" y="0"/>
                      <a:ext cx="6557010" cy="8803005"/>
                    </a:xfrm>
                    <a:prstGeom prst="rect">
                      <a:avLst/>
                    </a:prstGeom>
                    <a:noFill/>
                    <a:ln>
                      <a:noFill/>
                    </a:ln>
                  </pic:spPr>
                </pic:pic>
              </a:graphicData>
            </a:graphic>
          </wp:anchor>
        </w:drawing>
      </w:r>
      <w:r>
        <w:rPr>
          <w:rFonts w:ascii="VTRUDU+å®ä½" w:hAnsi="VTRUDU+å®ä½" w:eastAsia="Times New Roman" w:cs="VTRUDU+å®ä½"/>
          <w:color w:val="000000"/>
          <w:spacing w:val="1"/>
          <w:sz w:val="22"/>
          <w:szCs w:val="22"/>
        </w:rPr>
        <w:t>条款号</w:t>
      </w:r>
      <w:r>
        <w:rPr>
          <w:rFonts w:hint="eastAsia" w:ascii="VTRUDU+å®ä½" w:hAnsi="VTRUDU+å®ä½" w:cs="VTRUDU+å®ä½"/>
          <w:color w:val="000000"/>
          <w:spacing w:val="1"/>
          <w:sz w:val="22"/>
          <w:szCs w:val="22"/>
          <w:lang w:val="en-US" w:eastAsia="zh-CN"/>
        </w:rPr>
        <w:t xml:space="preserve">                                      </w:t>
      </w:r>
      <w:r>
        <w:rPr>
          <w:rFonts w:ascii="VTRUDU+å®ä½" w:hAnsi="VTRUDU+å®ä½" w:eastAsia="Times New Roman" w:cs="VTRUDU+å®ä½"/>
          <w:color w:val="000000"/>
          <w:spacing w:val="1"/>
          <w:sz w:val="22"/>
          <w:szCs w:val="22"/>
        </w:rPr>
        <w:t>评审因素与标准</w:t>
      </w:r>
    </w:p>
    <w:p>
      <w:pPr>
        <w:spacing w:before="264" w:line="231" w:lineRule="exact"/>
        <w:ind w:left="356"/>
        <w:rPr>
          <w:rFonts w:hAnsi="Calibri" w:eastAsia="Times New Roman"/>
          <w:color w:val="000000"/>
          <w:sz w:val="22"/>
          <w:szCs w:val="22"/>
        </w:rPr>
      </w:pPr>
      <w:r>
        <w:rPr>
          <w:rFonts w:ascii="VTRUDU+å®ä½" w:hAnsi="VTRUDU+å®ä½" w:eastAsia="Times New Roman" w:cs="VTRUDU+å®ä½"/>
          <w:color w:val="000000"/>
          <w:sz w:val="22"/>
          <w:szCs w:val="22"/>
        </w:rPr>
        <w:t>标。第二个信封在监督机关的监督下进行开标，未通过第一个信封初步评审的投标人的投标文</w:t>
      </w:r>
    </w:p>
    <w:p>
      <w:pPr>
        <w:spacing w:before="168" w:line="231" w:lineRule="exact"/>
        <w:ind w:left="356"/>
        <w:rPr>
          <w:rFonts w:hAnsi="Calibri" w:eastAsia="Times New Roman"/>
          <w:color w:val="000000"/>
          <w:sz w:val="22"/>
          <w:szCs w:val="22"/>
        </w:rPr>
      </w:pPr>
      <w:r>
        <w:rPr>
          <w:rFonts w:ascii="VTRUDU+å®ä½" w:hAnsi="VTRUDU+å®ä½" w:eastAsia="Times New Roman" w:cs="VTRUDU+å®ä½"/>
          <w:color w:val="000000"/>
          <w:sz w:val="22"/>
          <w:szCs w:val="22"/>
        </w:rPr>
        <w:t>件将被否决投标，其第二个信封原封退回，不参与第二个信封的开标。</w:t>
      </w:r>
    </w:p>
    <w:p>
      <w:pPr>
        <w:spacing w:before="168" w:line="231" w:lineRule="exact"/>
        <w:ind w:left="797"/>
        <w:rPr>
          <w:rFonts w:hAnsi="Calibri" w:eastAsia="Times New Roman"/>
          <w:color w:val="000000"/>
          <w:sz w:val="22"/>
          <w:szCs w:val="22"/>
        </w:rPr>
      </w:pPr>
      <w:r>
        <w:rPr>
          <w:rFonts w:ascii="CAJPUU+å®ä½" w:hAnsi="Calibri" w:eastAsia="Times New Roman"/>
          <w:color w:val="000000"/>
          <w:sz w:val="22"/>
          <w:szCs w:val="22"/>
        </w:rPr>
        <w:t>1.1.2</w:t>
      </w:r>
      <w:r>
        <w:rPr>
          <w:rFonts w:ascii="VTRUDU+å®ä½" w:hAnsi="VTRUDU+å®ä½" w:eastAsia="Times New Roman" w:cs="VTRUDU+å®ä½"/>
          <w:color w:val="000000"/>
          <w:sz w:val="22"/>
          <w:szCs w:val="22"/>
        </w:rPr>
        <w:t>评标委员会对投标文件第二个信封进行形式和响应性评审，未通过第二个信封形式</w:t>
      </w:r>
    </w:p>
    <w:p>
      <w:pPr>
        <w:spacing w:before="172" w:line="231" w:lineRule="exact"/>
        <w:ind w:left="356"/>
        <w:rPr>
          <w:rFonts w:hAnsi="Calibri" w:eastAsia="Times New Roman"/>
          <w:color w:val="000000"/>
          <w:sz w:val="22"/>
          <w:szCs w:val="22"/>
        </w:rPr>
      </w:pPr>
      <w:r>
        <w:rPr>
          <w:rFonts w:ascii="VTRUDU+å®ä½" w:hAnsi="VTRUDU+å®ä½" w:eastAsia="Times New Roman" w:cs="VTRUDU+å®ä½"/>
          <w:color w:val="000000"/>
          <w:sz w:val="22"/>
          <w:szCs w:val="22"/>
        </w:rPr>
        <w:t>和响应性评审的投标文件将被否决投标；若所有投标文件均未通过第二个信封的形式和响应性</w:t>
      </w:r>
    </w:p>
    <w:p>
      <w:pPr>
        <w:spacing w:before="168" w:line="231" w:lineRule="exact"/>
        <w:ind w:left="356"/>
        <w:rPr>
          <w:rFonts w:hAnsi="Calibri" w:eastAsia="Times New Roman"/>
          <w:color w:val="000000"/>
          <w:sz w:val="22"/>
          <w:szCs w:val="22"/>
        </w:rPr>
      </w:pPr>
      <w:r>
        <w:rPr>
          <w:rFonts w:ascii="VTRUDU+å®ä½" w:hAnsi="VTRUDU+å®ä½" w:eastAsia="Times New Roman" w:cs="VTRUDU+å®ä½"/>
          <w:color w:val="000000"/>
          <w:sz w:val="22"/>
          <w:szCs w:val="22"/>
        </w:rPr>
        <w:t>评审，招标人将重新招标。评标委员会对通过第二个信封形式和响应性评审的投标文件，按照</w:t>
      </w:r>
    </w:p>
    <w:p>
      <w:pPr>
        <w:spacing w:before="168" w:line="231" w:lineRule="exact"/>
        <w:ind w:left="356"/>
        <w:rPr>
          <w:rFonts w:hAnsi="Calibri" w:eastAsia="Times New Roman"/>
          <w:color w:val="000000"/>
          <w:sz w:val="22"/>
          <w:szCs w:val="22"/>
        </w:rPr>
      </w:pPr>
      <w:r>
        <w:rPr>
          <w:rFonts w:ascii="VTRUDU+å®ä½" w:hAnsi="VTRUDU+å®ä½" w:eastAsia="Times New Roman" w:cs="VTRUDU+å®ä½"/>
          <w:color w:val="000000"/>
          <w:spacing w:val="1"/>
          <w:sz w:val="22"/>
          <w:szCs w:val="22"/>
        </w:rPr>
        <w:t>本章第</w:t>
      </w:r>
      <w:r>
        <w:rPr>
          <w:rFonts w:ascii="CAJPUU+å®ä½" w:hAnsi="Calibri" w:eastAsia="Times New Roman"/>
          <w:color w:val="000000"/>
          <w:sz w:val="22"/>
          <w:szCs w:val="22"/>
        </w:rPr>
        <w:t>2.2</w:t>
      </w:r>
      <w:r>
        <w:rPr>
          <w:rFonts w:ascii="VTRUDU+å®ä½" w:hAnsi="VTRUDU+å®ä½" w:eastAsia="Times New Roman" w:cs="VTRUDU+å®ä½"/>
          <w:color w:val="000000"/>
          <w:sz w:val="22"/>
          <w:szCs w:val="22"/>
        </w:rPr>
        <w:t>款规定的评分标准进行评分，然后按评标价得分由高到低顺序推荐中标候选人，但</w:t>
      </w:r>
    </w:p>
    <w:p>
      <w:pPr>
        <w:spacing w:before="173" w:line="231" w:lineRule="exact"/>
        <w:ind w:left="356"/>
        <w:rPr>
          <w:rFonts w:hAnsi="Calibri" w:eastAsia="Times New Roman"/>
          <w:color w:val="000000"/>
          <w:sz w:val="22"/>
          <w:szCs w:val="22"/>
        </w:rPr>
      </w:pPr>
      <w:r>
        <w:rPr>
          <w:rFonts w:ascii="VTRUDU+å®ä½" w:hAnsi="VTRUDU+å®ä½" w:eastAsia="Times New Roman" w:cs="VTRUDU+å®ä½"/>
          <w:color w:val="000000"/>
          <w:sz w:val="22"/>
          <w:szCs w:val="22"/>
        </w:rPr>
        <w:t>投标报价低于其成本的除外。</w:t>
      </w:r>
    </w:p>
    <w:p>
      <w:pPr>
        <w:spacing w:before="168" w:line="231" w:lineRule="exact"/>
        <w:ind w:left="797"/>
        <w:rPr>
          <w:rFonts w:hAnsi="Calibri" w:eastAsia="Times New Roman"/>
          <w:color w:val="000000"/>
          <w:sz w:val="22"/>
          <w:szCs w:val="22"/>
        </w:rPr>
      </w:pPr>
      <w:r>
        <w:rPr>
          <w:rFonts w:ascii="CAJPUU+å®ä½" w:hAnsi="Calibri" w:eastAsia="Times New Roman"/>
          <w:color w:val="000000"/>
          <w:sz w:val="22"/>
          <w:szCs w:val="22"/>
        </w:rPr>
        <w:t>1.1.3</w:t>
      </w:r>
      <w:r>
        <w:rPr>
          <w:rFonts w:ascii="VTRUDU+å®ä½" w:hAnsi="VTRUDU+å®ä½" w:eastAsia="Times New Roman" w:cs="VTRUDU+å®ä½"/>
          <w:color w:val="000000"/>
          <w:sz w:val="22"/>
          <w:szCs w:val="22"/>
        </w:rPr>
        <w:t>综合评分相等时，评标委员会依次按照以下优先顺序推荐中标候选人或确定中标</w:t>
      </w:r>
    </w:p>
    <w:p>
      <w:pPr>
        <w:spacing w:before="168" w:line="231" w:lineRule="exact"/>
        <w:ind w:left="356"/>
        <w:rPr>
          <w:rFonts w:hAnsi="Calibri" w:eastAsia="Times New Roman"/>
          <w:color w:val="000000"/>
          <w:sz w:val="22"/>
          <w:szCs w:val="22"/>
        </w:rPr>
      </w:pPr>
      <w:r>
        <w:rPr>
          <w:rFonts w:ascii="VTRUDU+å®ä½" w:hAnsi="VTRUDU+å®ä½" w:eastAsia="Times New Roman" w:cs="VTRUDU+å®ä½"/>
          <w:color w:val="000000"/>
          <w:spacing w:val="1"/>
          <w:sz w:val="22"/>
          <w:szCs w:val="22"/>
        </w:rPr>
        <w:t>人：</w:t>
      </w:r>
    </w:p>
    <w:p>
      <w:pPr>
        <w:spacing w:before="172" w:line="231" w:lineRule="exact"/>
        <w:ind w:firstLine="666" w:firstLineChars="300"/>
        <w:rPr>
          <w:rFonts w:hAnsi="Calibri" w:eastAsia="Times New Roman"/>
          <w:color w:val="000000"/>
          <w:sz w:val="22"/>
          <w:szCs w:val="22"/>
        </w:rPr>
      </w:pPr>
      <w:r>
        <w:rPr>
          <w:rFonts w:ascii="VTRUDU+å®ä½" w:hAnsi="VTRUDU+å®ä½" w:eastAsia="Times New Roman" w:cs="VTRUDU+å®ä½"/>
          <w:color w:val="000000"/>
          <w:spacing w:val="1"/>
          <w:sz w:val="22"/>
          <w:szCs w:val="22"/>
        </w:rPr>
        <w:t>（</w:t>
      </w:r>
      <w:r>
        <w:rPr>
          <w:rFonts w:ascii="CAJPUU+å®ä½" w:hAnsi="Calibri" w:eastAsia="Times New Roman"/>
          <w:color w:val="000000"/>
          <w:sz w:val="22"/>
          <w:szCs w:val="22"/>
        </w:rPr>
        <w:t>1</w:t>
      </w:r>
      <w:r>
        <w:rPr>
          <w:rFonts w:ascii="VTRUDU+å®ä½" w:hAnsi="VTRUDU+å®ä½" w:eastAsia="Times New Roman" w:cs="VTRUDU+å®ä½"/>
          <w:color w:val="000000"/>
          <w:sz w:val="22"/>
          <w:szCs w:val="22"/>
        </w:rPr>
        <w:t>）以投标价较低者优先；</w:t>
      </w:r>
    </w:p>
    <w:p>
      <w:pPr>
        <w:spacing w:line="400" w:lineRule="exact"/>
        <w:ind w:left="356" w:firstLine="222" w:firstLineChars="100"/>
        <w:rPr>
          <w:rFonts w:hAnsi="Calibri" w:eastAsia="Times New Roman"/>
          <w:color w:val="000000"/>
          <w:sz w:val="22"/>
          <w:szCs w:val="22"/>
        </w:rPr>
      </w:pPr>
      <w:r>
        <w:rPr>
          <w:rFonts w:ascii="VTRUDU+å®ä½" w:hAnsi="VTRUDU+å®ä½" w:eastAsia="Times New Roman" w:cs="VTRUDU+å®ä½"/>
          <w:color w:val="000000"/>
          <w:spacing w:val="1"/>
          <w:sz w:val="22"/>
          <w:szCs w:val="22"/>
        </w:rPr>
        <w:t>（</w:t>
      </w:r>
      <w:r>
        <w:rPr>
          <w:rFonts w:ascii="CAJPUU+å®ä½" w:hAnsi="Calibri" w:eastAsia="Times New Roman"/>
          <w:color w:val="000000"/>
          <w:sz w:val="22"/>
          <w:szCs w:val="22"/>
        </w:rPr>
        <w:t>2</w:t>
      </w:r>
      <w:r>
        <w:rPr>
          <w:rFonts w:ascii="VTRUDU+å®ä½" w:hAnsi="VTRUDU+å®ä½" w:eastAsia="Times New Roman" w:cs="VTRUDU+å®ä½"/>
          <w:color w:val="000000"/>
          <w:sz w:val="22"/>
          <w:szCs w:val="22"/>
        </w:rPr>
        <w:t>）被招标项目所在地省级交通运输主管部门评为较高信用等级的投标人优先；</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当两家及以上投标人的最终得分相等且投标价也相等时，则先对各投标人的工程量清单进</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行复核，若各投标人工程量清单子目单价也相同时，视为串标，均以废标处理。若各投标人工</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程量清单子目单价不同时，由评标委员会根据施工组织设计的编制情况投票确定其推荐顺序。</w:t>
      </w:r>
      <w:r>
        <w:rPr>
          <w:rFonts w:ascii="VTRUDU+å®ä½" w:hAnsi="VTRUDU+å®ä½" w:eastAsia="Times New Roman" w:cs="VTRUDU+å®ä½"/>
          <w:color w:val="000000"/>
          <w:sz w:val="22"/>
          <w:szCs w:val="22"/>
        </w:rPr>
        <w:cr/>
      </w:r>
      <w:r>
        <w:rPr>
          <w:rFonts w:ascii="CAJPUU+å®ä½" w:hAnsi="Calibri" w:eastAsia="Times New Roman"/>
          <w:color w:val="000000"/>
          <w:sz w:val="22"/>
          <w:szCs w:val="22"/>
        </w:rPr>
        <w:t>1.1.4</w:t>
      </w:r>
      <w:r>
        <w:rPr>
          <w:rFonts w:ascii="VTRUDU+å®ä½" w:hAnsi="VTRUDU+å®ä½" w:eastAsia="Times New Roman" w:cs="VTRUDU+å®ä½"/>
          <w:color w:val="000000"/>
          <w:sz w:val="22"/>
          <w:szCs w:val="22"/>
        </w:rPr>
        <w:t>通过第一个信封评审且参与第二个信封开标的投标人在</w:t>
      </w:r>
      <w:r>
        <w:rPr>
          <w:rFonts w:ascii="CAJPUU+å®ä½" w:hAnsi="Calibri" w:eastAsia="Times New Roman"/>
          <w:color w:val="000000"/>
          <w:sz w:val="22"/>
          <w:szCs w:val="22"/>
        </w:rPr>
        <w:t>3</w:t>
      </w:r>
      <w:r>
        <w:rPr>
          <w:rFonts w:ascii="VTRUDU+å®ä½" w:hAnsi="VTRUDU+å®ä½" w:eastAsia="Times New Roman" w:cs="VTRUDU+å®ä½"/>
          <w:color w:val="000000"/>
          <w:sz w:val="22"/>
          <w:szCs w:val="22"/>
        </w:rPr>
        <w:t>个及以上的，招标人将按规</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定的程序进行第二个信封开标；在对第二个信封进行评审后，有效投标不足</w:t>
      </w:r>
      <w:r>
        <w:rPr>
          <w:rFonts w:ascii="CAJPUU+å®ä½" w:hAnsi="Calibri" w:eastAsia="Times New Roman"/>
          <w:color w:val="000000"/>
          <w:sz w:val="22"/>
          <w:szCs w:val="22"/>
        </w:rPr>
        <w:t>3</w:t>
      </w:r>
      <w:r>
        <w:rPr>
          <w:rFonts w:ascii="VTRUDU+å®ä½" w:hAnsi="VTRUDU+å®ä½" w:eastAsia="Times New Roman" w:cs="VTRUDU+å®ä½"/>
          <w:color w:val="000000"/>
          <w:sz w:val="22"/>
          <w:szCs w:val="22"/>
        </w:rPr>
        <w:t>个使得投标明显</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缺乏竞争的，评标委员会可以否决全部投标。评标委员会未否决全部投标的，应当在评标报告</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中阐明理由并推荐中标候选人。</w:t>
      </w:r>
    </w:p>
    <w:p>
      <w:pPr>
        <w:spacing w:before="3" w:line="400" w:lineRule="exact"/>
        <w:ind w:left="356"/>
        <w:rPr>
          <w:rFonts w:hAnsi="Calibri" w:eastAsia="Times New Roman"/>
          <w:color w:val="000000"/>
          <w:sz w:val="22"/>
          <w:szCs w:val="22"/>
        </w:rPr>
      </w:pPr>
      <w:r>
        <w:rPr>
          <w:rFonts w:ascii="CAJPUU+å®ä½" w:hAnsi="Calibri" w:eastAsia="Times New Roman"/>
          <w:color w:val="000000"/>
          <w:sz w:val="22"/>
          <w:szCs w:val="22"/>
        </w:rPr>
        <w:t>1.1.5</w:t>
      </w:r>
      <w:r>
        <w:rPr>
          <w:rFonts w:ascii="VTRUDU+å®ä½" w:hAnsi="VTRUDU+å®ä½" w:eastAsia="Times New Roman" w:cs="VTRUDU+å®ä½"/>
          <w:color w:val="000000"/>
          <w:sz w:val="22"/>
          <w:szCs w:val="22"/>
        </w:rPr>
        <w:t>通过第一个信封评审且参与第二个信封开标的投标人少于</w:t>
      </w:r>
      <w:r>
        <w:rPr>
          <w:rFonts w:ascii="CAJPUU+å®ä½" w:hAnsi="Calibri" w:eastAsia="Times New Roman"/>
          <w:color w:val="000000"/>
          <w:sz w:val="22"/>
          <w:szCs w:val="22"/>
        </w:rPr>
        <w:t>3</w:t>
      </w:r>
      <w:r>
        <w:rPr>
          <w:rFonts w:ascii="VTRUDU+å®ä½" w:hAnsi="VTRUDU+å®ä½" w:eastAsia="Times New Roman" w:cs="VTRUDU+å®ä½"/>
          <w:color w:val="000000"/>
          <w:sz w:val="22"/>
          <w:szCs w:val="22"/>
        </w:rPr>
        <w:t>个的，评标委员会可以否</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决全部投标；未否决全部投标的，评标委员会应当在评标报告中阐明理由，招标人将按规定的</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程序进行第二个信封开标，但评标委员会在进行第二个信封评审时仍有权否决全部投标；评标</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委员会未在第二个信封评审时否决全部投标的，应当在评标报告中阐明理由并推荐中标候选</w:t>
      </w:r>
      <w:r>
        <w:rPr>
          <w:rFonts w:ascii="VTRUDU+å®ä½" w:hAnsi="VTRUDU+å®ä½" w:eastAsia="Times New Roman" w:cs="VTRUDU+å®ä½"/>
          <w:color w:val="000000"/>
          <w:sz w:val="22"/>
          <w:szCs w:val="22"/>
        </w:rPr>
        <w:cr/>
      </w:r>
      <w:r>
        <w:rPr>
          <w:rFonts w:ascii="VTRUDU+å®ä½" w:hAnsi="VTRUDU+å®ä½" w:eastAsia="Times New Roman" w:cs="VTRUDU+å®ä½"/>
          <w:color w:val="000000"/>
          <w:spacing w:val="1"/>
          <w:sz w:val="22"/>
          <w:szCs w:val="22"/>
        </w:rPr>
        <w:t>人。</w:t>
      </w:r>
    </w:p>
    <w:p>
      <w:pPr>
        <w:spacing w:line="400" w:lineRule="exact"/>
        <w:ind w:left="356"/>
        <w:rPr>
          <w:rFonts w:ascii="VTRUDU+å®ä½" w:hAnsi="VTRUDU+å®ä½" w:eastAsia="Times New Roman" w:cs="VTRUDU+å®ä½"/>
          <w:color w:val="000000"/>
          <w:sz w:val="22"/>
          <w:szCs w:val="22"/>
        </w:rPr>
      </w:pPr>
      <w:r>
        <w:rPr>
          <w:rFonts w:ascii="CAJPUU+å®ä½" w:hAnsi="Calibri" w:eastAsia="Times New Roman"/>
          <w:color w:val="000000"/>
          <w:sz w:val="22"/>
          <w:szCs w:val="22"/>
        </w:rPr>
        <w:t>1.1.6</w:t>
      </w:r>
      <w:r>
        <w:rPr>
          <w:rFonts w:ascii="VTRUDU+å®ä½" w:hAnsi="VTRUDU+å®ä½" w:eastAsia="Times New Roman" w:cs="VTRUDU+å®ä½"/>
          <w:color w:val="000000"/>
          <w:sz w:val="22"/>
          <w:szCs w:val="22"/>
        </w:rPr>
        <w:t>在评标过程中，评标委员会应查询交通运输主管部门“公路建设市场监督管理系统”、</w:t>
      </w:r>
    </w:p>
    <w:p>
      <w:pPr>
        <w:spacing w:line="400" w:lineRule="exact"/>
        <w:ind w:left="356"/>
        <w:rPr>
          <w:rFonts w:hAnsi="Calibri" w:eastAsia="Times New Roman"/>
          <w:color w:val="000000"/>
          <w:sz w:val="22"/>
          <w:szCs w:val="22"/>
        </w:rPr>
      </w:pPr>
      <w:r>
        <w:rPr>
          <w:rFonts w:ascii="VTRUDU+å®ä½" w:hAnsi="VTRUDU+å®ä½" w:eastAsia="Times New Roman" w:cs="VTRUDU+å®ä½"/>
          <w:color w:val="000000"/>
          <w:sz w:val="22"/>
          <w:szCs w:val="22"/>
        </w:rPr>
        <w:t>“公共资源交易网”等相关官方网站，对投标人的资质、业绩、主要人员资历等信息进</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行核实。若投标文件载明的信息与上述网站发布的信息不符，使得投标人的资格条件不符合招</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标文件规定的，评标委员会应否决其投标。</w:t>
      </w:r>
    </w:p>
    <w:p>
      <w:pPr>
        <w:spacing w:before="5" w:line="399" w:lineRule="exact"/>
        <w:ind w:left="356"/>
        <w:rPr>
          <w:rFonts w:ascii="VTRUDU+å®ä½" w:hAnsi="VTRUDU+å®ä½" w:eastAsia="Times New Roman" w:cs="VTRUDU+å®ä½"/>
          <w:color w:val="000000"/>
          <w:sz w:val="22"/>
          <w:szCs w:val="22"/>
        </w:rPr>
      </w:pPr>
      <w:r>
        <w:rPr>
          <w:rFonts w:ascii="VTRUDU+å®ä½" w:hAnsi="VTRUDU+å®ä½" w:eastAsia="Times New Roman" w:cs="VTRUDU+å®ä½"/>
          <w:color w:val="000000"/>
          <w:sz w:val="22"/>
          <w:szCs w:val="22"/>
        </w:rPr>
        <w:t>在评标过程中，评标委员会还应查询以下网站对投标人提供的相关信息进行核实：</w:t>
      </w:r>
      <w:r>
        <w:rPr>
          <w:rFonts w:ascii="VTRUDU+å®ä½" w:hAnsi="VTRUDU+å®ä½" w:eastAsia="Times New Roman" w:cs="VTRUDU+å®ä½"/>
          <w:color w:val="000000"/>
          <w:sz w:val="22"/>
          <w:szCs w:val="22"/>
        </w:rPr>
        <w:cr/>
      </w:r>
      <w:r>
        <w:rPr>
          <w:rFonts w:ascii="VTRUDU+å®ä½" w:hAnsi="VTRUDU+å®ä½" w:eastAsia="Times New Roman" w:cs="VTRUDU+å®ä½"/>
          <w:color w:val="000000"/>
          <w:spacing w:val="1"/>
          <w:sz w:val="22"/>
          <w:szCs w:val="22"/>
        </w:rPr>
        <w:t>（</w:t>
      </w:r>
      <w:r>
        <w:rPr>
          <w:rFonts w:ascii="CAJPUU+å®ä½" w:hAnsi="Calibri" w:eastAsia="Times New Roman"/>
          <w:color w:val="000000"/>
          <w:sz w:val="22"/>
          <w:szCs w:val="22"/>
        </w:rPr>
        <w:t>1</w:t>
      </w:r>
      <w:r>
        <w:rPr>
          <w:rFonts w:ascii="VTRUDU+å®ä½" w:hAnsi="VTRUDU+å®ä½" w:eastAsia="Times New Roman" w:cs="VTRUDU+å®ä½"/>
          <w:color w:val="000000"/>
          <w:sz w:val="22"/>
          <w:szCs w:val="22"/>
        </w:rPr>
        <w:t>）“信用中国”或“中国执行信息公开网”、“国家企业信用信息公示系统”对投标人信誉情况</w:t>
      </w:r>
    </w:p>
    <w:p>
      <w:pPr>
        <w:spacing w:before="5" w:line="399" w:lineRule="exact"/>
        <w:ind w:left="356"/>
        <w:rPr>
          <w:rFonts w:hAnsi="Calibri" w:eastAsia="Times New Roman"/>
          <w:color w:val="000000"/>
          <w:sz w:val="22"/>
          <w:szCs w:val="22"/>
        </w:rPr>
      </w:pPr>
      <w:r>
        <w:rPr>
          <w:rFonts w:ascii="VTRUDU+å®ä½" w:hAnsi="VTRUDU+å®ä½" w:eastAsia="Times New Roman" w:cs="VTRUDU+å®ä½"/>
          <w:color w:val="000000"/>
          <w:sz w:val="22"/>
          <w:szCs w:val="22"/>
        </w:rPr>
        <w:t>进行核实；</w:t>
      </w:r>
    </w:p>
    <w:p>
      <w:pPr>
        <w:spacing w:before="5" w:line="399" w:lineRule="exact"/>
        <w:ind w:left="356"/>
        <w:rPr>
          <w:rFonts w:hAnsi="Calibri" w:eastAsia="Times New Roman"/>
          <w:color w:val="000000"/>
          <w:sz w:val="22"/>
          <w:szCs w:val="22"/>
        </w:rPr>
      </w:pPr>
      <w:r>
        <w:rPr>
          <w:rFonts w:ascii="VTRUDU+å®ä½" w:hAnsi="VTRUDU+å®ä½" w:eastAsia="Times New Roman" w:cs="VTRUDU+å®ä½"/>
          <w:color w:val="000000"/>
          <w:spacing w:val="1"/>
          <w:sz w:val="22"/>
          <w:szCs w:val="22"/>
        </w:rPr>
        <w:t>（</w:t>
      </w:r>
      <w:r>
        <w:rPr>
          <w:rFonts w:ascii="CAJPUU+å®ä½" w:hAnsi="Calibri" w:eastAsia="Times New Roman"/>
          <w:color w:val="000000"/>
          <w:sz w:val="22"/>
          <w:szCs w:val="22"/>
        </w:rPr>
        <w:t>2</w:t>
      </w:r>
      <w:r>
        <w:rPr>
          <w:rFonts w:ascii="VTRUDU+å®ä½" w:hAnsi="VTRUDU+å®ä½" w:eastAsia="Times New Roman" w:cs="VTRUDU+å®ä½"/>
          <w:color w:val="000000"/>
          <w:sz w:val="22"/>
          <w:szCs w:val="22"/>
        </w:rPr>
        <w:t>）“国家企业信用信息公示系统”对投标人股东信息进行核实；</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若投标文件载明的信息与相关网站发布的信息不符，使得投标人的资格条件不符合招标文</w:t>
      </w:r>
      <w:r>
        <w:rPr>
          <w:rFonts w:ascii="VTRUDU+å®ä½" w:hAnsi="VTRUDU+å®ä½" w:eastAsia="Times New Roman" w:cs="VTRUDU+å®ä½"/>
          <w:color w:val="000000"/>
          <w:sz w:val="22"/>
          <w:szCs w:val="22"/>
        </w:rPr>
        <w:cr/>
      </w:r>
      <w:r>
        <w:rPr>
          <w:rFonts w:ascii="VTRUDU+å®ä½" w:hAnsi="VTRUDU+å®ä½" w:eastAsia="Times New Roman" w:cs="VTRUDU+å®ä½"/>
          <w:color w:val="000000"/>
          <w:sz w:val="22"/>
          <w:szCs w:val="22"/>
        </w:rPr>
        <w:t>件规定的，评标委员会应否决其投标。</w:t>
      </w:r>
    </w:p>
    <w:p>
      <w:pPr>
        <w:spacing w:before="700" w:line="192" w:lineRule="exact"/>
        <w:ind w:left="4327"/>
        <w:rPr>
          <w:rFonts w:ascii="CAJPUU+å®ä½" w:hAnsi="Calibri" w:eastAsia="Times New Roman"/>
          <w:color w:val="000000"/>
          <w:sz w:val="18"/>
          <w:szCs w:val="22"/>
        </w:rPr>
        <w:sectPr>
          <w:pgSz w:w="11900" w:h="16820"/>
          <w:pgMar w:top="1635" w:right="100" w:bottom="0" w:left="1541" w:header="720" w:footer="720" w:gutter="0"/>
          <w:pgNumType w:start="1"/>
          <w:cols w:space="720" w:num="1"/>
          <w:docGrid w:linePitch="1" w:charSpace="0"/>
        </w:sectPr>
      </w:pPr>
    </w:p>
    <w:p>
      <w:pPr>
        <w:spacing w:line="231" w:lineRule="exact"/>
        <w:rPr>
          <w:rFonts w:hAnsi="Calibri" w:eastAsia="Times New Roman"/>
          <w:color w:val="000000"/>
          <w:sz w:val="22"/>
          <w:szCs w:val="22"/>
        </w:rPr>
      </w:pPr>
      <w:r>
        <w:drawing>
          <wp:anchor distT="0" distB="0" distL="114300" distR="114300" simplePos="0" relativeHeight="251664384" behindDoc="1" locked="0" layoutInCell="1" allowOverlap="1">
            <wp:simplePos x="0" y="0"/>
            <wp:positionH relativeFrom="page">
              <wp:posOffset>502920</wp:posOffset>
            </wp:positionH>
            <wp:positionV relativeFrom="page">
              <wp:posOffset>875030</wp:posOffset>
            </wp:positionV>
            <wp:extent cx="6557010" cy="4991735"/>
            <wp:effectExtent l="0" t="0" r="15240" b="18415"/>
            <wp:wrapNone/>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pic:cNvPicPr>
                  </pic:nvPicPr>
                  <pic:blipFill>
                    <a:blip r:embed="rId10"/>
                    <a:stretch>
                      <a:fillRect/>
                    </a:stretch>
                  </pic:blipFill>
                  <pic:spPr>
                    <a:xfrm>
                      <a:off x="0" y="0"/>
                      <a:ext cx="6557010" cy="4991735"/>
                    </a:xfrm>
                    <a:prstGeom prst="rect">
                      <a:avLst/>
                    </a:prstGeom>
                    <a:noFill/>
                    <a:ln>
                      <a:noFill/>
                    </a:ln>
                  </pic:spPr>
                </pic:pic>
              </a:graphicData>
            </a:graphic>
          </wp:anchor>
        </w:drawing>
      </w:r>
      <w:r>
        <w:rPr>
          <w:rFonts w:ascii="VRONMH+å®ä½" w:hAnsi="VRONMH+å®ä½" w:eastAsia="Times New Roman" w:cs="VRONMH+å®ä½"/>
          <w:color w:val="000000"/>
          <w:spacing w:val="1"/>
          <w:sz w:val="22"/>
          <w:szCs w:val="22"/>
        </w:rPr>
        <w:t>条款号</w:t>
      </w:r>
      <w:r>
        <w:rPr>
          <w:rFonts w:hint="eastAsia" w:ascii="VRONMH+å®ä½" w:hAnsi="VRONMH+å®ä½" w:cs="VRONMH+å®ä½"/>
          <w:color w:val="000000"/>
          <w:spacing w:val="1"/>
          <w:sz w:val="22"/>
          <w:szCs w:val="22"/>
          <w:lang w:val="en-US" w:eastAsia="zh-CN"/>
        </w:rPr>
        <w:t xml:space="preserve">                                    </w:t>
      </w:r>
      <w:r>
        <w:rPr>
          <w:rFonts w:ascii="VRONMH+å®ä½" w:hAnsi="VRONMH+å®ä½" w:eastAsia="Times New Roman" w:cs="VRONMH+å®ä½"/>
          <w:color w:val="000000"/>
          <w:spacing w:val="1"/>
          <w:sz w:val="22"/>
          <w:szCs w:val="22"/>
        </w:rPr>
        <w:t>评审因素与标准</w:t>
      </w:r>
    </w:p>
    <w:p>
      <w:pPr>
        <w:spacing w:before="264" w:line="231" w:lineRule="exact"/>
        <w:ind w:left="797"/>
        <w:rPr>
          <w:rFonts w:hAnsi="Calibri" w:eastAsia="Times New Roman"/>
          <w:color w:val="000000"/>
          <w:sz w:val="22"/>
          <w:szCs w:val="22"/>
        </w:rPr>
      </w:pPr>
      <w:r>
        <w:rPr>
          <w:rFonts w:ascii="NCKLGB+å®ä½" w:hAnsi="Calibri" w:eastAsia="Times New Roman"/>
          <w:color w:val="000000"/>
          <w:sz w:val="22"/>
          <w:szCs w:val="22"/>
        </w:rPr>
        <w:t>2.</w:t>
      </w:r>
      <w:r>
        <w:rPr>
          <w:rFonts w:ascii="VRONMH+å®ä½" w:hAnsi="VRONMH+å®ä½" w:eastAsia="Times New Roman" w:cs="VRONMH+å®ä½"/>
          <w:color w:val="000000"/>
          <w:spacing w:val="1"/>
          <w:sz w:val="22"/>
          <w:szCs w:val="22"/>
        </w:rPr>
        <w:t>评标结果</w:t>
      </w:r>
    </w:p>
    <w:p>
      <w:pPr>
        <w:spacing w:before="168" w:line="231" w:lineRule="exact"/>
        <w:ind w:left="797"/>
        <w:rPr>
          <w:rFonts w:hAnsi="Calibri" w:eastAsia="Times New Roman"/>
          <w:color w:val="000000"/>
          <w:sz w:val="22"/>
          <w:szCs w:val="22"/>
        </w:rPr>
      </w:pPr>
      <w:r>
        <w:rPr>
          <w:rFonts w:ascii="NCKLGB+å®ä½" w:hAnsi="Calibri" w:eastAsia="Times New Roman"/>
          <w:color w:val="000000"/>
          <w:sz w:val="22"/>
          <w:szCs w:val="22"/>
        </w:rPr>
        <w:t>2.1</w:t>
      </w:r>
      <w:r>
        <w:rPr>
          <w:rFonts w:ascii="VRONMH+å®ä½" w:hAnsi="VRONMH+å®ä½" w:eastAsia="Times New Roman" w:cs="VRONMH+å®ä½"/>
          <w:color w:val="000000"/>
          <w:sz w:val="22"/>
          <w:szCs w:val="22"/>
        </w:rPr>
        <w:t>评标委员会按照评标方法的规定推荐中标候选人。</w:t>
      </w:r>
    </w:p>
    <w:p>
      <w:pPr>
        <w:spacing w:before="168" w:line="231" w:lineRule="exact"/>
        <w:ind w:left="797"/>
        <w:rPr>
          <w:rFonts w:hAnsi="Calibri" w:eastAsia="Times New Roman"/>
          <w:color w:val="000000"/>
          <w:sz w:val="22"/>
          <w:szCs w:val="22"/>
        </w:rPr>
      </w:pPr>
      <w:r>
        <w:rPr>
          <w:rFonts w:ascii="NCKLGB+å®ä½" w:hAnsi="Calibri" w:eastAsia="Times New Roman"/>
          <w:color w:val="000000"/>
          <w:sz w:val="22"/>
          <w:szCs w:val="22"/>
        </w:rPr>
        <w:t>2.2</w:t>
      </w:r>
      <w:r>
        <w:rPr>
          <w:rFonts w:ascii="VRONMH+å®ä½" w:hAnsi="VRONMH+å®ä½" w:eastAsia="Times New Roman" w:cs="VRONMH+å®ä½"/>
          <w:color w:val="000000"/>
          <w:sz w:val="22"/>
          <w:szCs w:val="22"/>
        </w:rPr>
        <w:t>评标委员会完成评标后，应当向招标人提交书面评标报告。评标报告由评标委员会全</w:t>
      </w:r>
    </w:p>
    <w:p>
      <w:pPr>
        <w:spacing w:before="172" w:line="231" w:lineRule="exact"/>
        <w:ind w:left="356"/>
        <w:rPr>
          <w:rFonts w:hAnsi="Calibri" w:eastAsia="Times New Roman"/>
          <w:color w:val="000000"/>
          <w:sz w:val="22"/>
          <w:szCs w:val="22"/>
        </w:rPr>
      </w:pPr>
      <w:r>
        <w:rPr>
          <w:rFonts w:ascii="VRONMH+å®ä½" w:hAnsi="VRONMH+å®ä½" w:eastAsia="Times New Roman" w:cs="VRONMH+å®ä½"/>
          <w:color w:val="000000"/>
          <w:sz w:val="22"/>
          <w:szCs w:val="22"/>
        </w:rPr>
        <w:t>体成员签字。对评标结论持有异议的评标委员会成员可以书面方式阐述其不同意见和理由。评</w:t>
      </w:r>
    </w:p>
    <w:p>
      <w:pPr>
        <w:spacing w:before="168" w:line="231" w:lineRule="exact"/>
        <w:ind w:left="356"/>
        <w:rPr>
          <w:rFonts w:hAnsi="Calibri" w:eastAsia="Times New Roman"/>
          <w:color w:val="000000"/>
          <w:sz w:val="22"/>
          <w:szCs w:val="22"/>
        </w:rPr>
      </w:pPr>
      <w:r>
        <w:rPr>
          <w:rFonts w:ascii="VRONMH+å®ä½" w:hAnsi="VRONMH+å®ä½" w:eastAsia="Times New Roman" w:cs="VRONMH+å®ä½"/>
          <w:color w:val="000000"/>
          <w:sz w:val="22"/>
          <w:szCs w:val="22"/>
        </w:rPr>
        <w:t>标委员会成员拒绝在评标报告上签字且不陈述其不同意见和理由的，视为同意评标结论。</w:t>
      </w:r>
    </w:p>
    <w:p>
      <w:pPr>
        <w:spacing w:before="168" w:line="231" w:lineRule="exact"/>
        <w:ind w:left="797"/>
        <w:rPr>
          <w:rFonts w:hAnsi="Calibri" w:eastAsia="Times New Roman"/>
          <w:color w:val="000000"/>
          <w:sz w:val="22"/>
          <w:szCs w:val="22"/>
        </w:rPr>
      </w:pPr>
      <w:r>
        <w:rPr>
          <w:rFonts w:ascii="NCKLGB+å®ä½" w:hAnsi="Calibri" w:eastAsia="Times New Roman"/>
          <w:color w:val="000000"/>
          <w:sz w:val="22"/>
          <w:szCs w:val="22"/>
        </w:rPr>
        <w:t>3</w:t>
      </w:r>
      <w:r>
        <w:rPr>
          <w:rFonts w:ascii="VRONMH+å®ä½" w:hAnsi="VRONMH+å®ä½" w:eastAsia="Times New Roman" w:cs="VRONMH+å®ä½"/>
          <w:color w:val="000000"/>
          <w:sz w:val="22"/>
          <w:szCs w:val="22"/>
        </w:rPr>
        <w:t>、偏差率保留小数点后两位，小数点后第三位“四舍五入”。</w:t>
      </w:r>
    </w:p>
    <w:p>
      <w:pPr>
        <w:spacing w:before="173" w:line="231" w:lineRule="exact"/>
        <w:ind w:left="797"/>
        <w:rPr>
          <w:rFonts w:hAnsi="Calibri" w:eastAsia="Times New Roman"/>
          <w:color w:val="000000"/>
          <w:sz w:val="22"/>
          <w:szCs w:val="22"/>
        </w:rPr>
      </w:pPr>
      <w:r>
        <w:rPr>
          <w:rFonts w:ascii="NCKLGB+å®ä½" w:hAnsi="Calibri" w:eastAsia="Times New Roman"/>
          <w:color w:val="000000"/>
          <w:sz w:val="22"/>
          <w:szCs w:val="22"/>
        </w:rPr>
        <w:t>4</w:t>
      </w:r>
      <w:r>
        <w:rPr>
          <w:rFonts w:ascii="VRONMH+å®ä½" w:hAnsi="VRONMH+å®ä½" w:eastAsia="Times New Roman" w:cs="VRONMH+å®ä½"/>
          <w:color w:val="000000"/>
          <w:sz w:val="22"/>
          <w:szCs w:val="22"/>
        </w:rPr>
        <w:t>、本项目评标基准价计算方法时，随机抽取方法一或方法二。</w:t>
      </w:r>
    </w:p>
    <w:p>
      <w:pPr>
        <w:spacing w:before="168" w:line="231" w:lineRule="exact"/>
        <w:ind w:left="797"/>
        <w:rPr>
          <w:rFonts w:hAnsi="Calibri" w:eastAsia="Times New Roman"/>
          <w:color w:val="000000"/>
          <w:sz w:val="22"/>
          <w:szCs w:val="22"/>
        </w:rPr>
      </w:pPr>
      <w:r>
        <w:rPr>
          <w:rFonts w:ascii="NCKLGB+å®ä½" w:hAnsi="Calibri" w:eastAsia="Times New Roman"/>
          <w:color w:val="000000"/>
          <w:sz w:val="22"/>
          <w:szCs w:val="22"/>
        </w:rPr>
        <w:t>5</w:t>
      </w:r>
      <w:r>
        <w:rPr>
          <w:rFonts w:ascii="VRONMH+å®ä½" w:hAnsi="VRONMH+å®ä½" w:eastAsia="Times New Roman" w:cs="VRONMH+å®ä½"/>
          <w:color w:val="000000"/>
          <w:spacing w:val="1"/>
          <w:sz w:val="22"/>
          <w:szCs w:val="22"/>
        </w:rPr>
        <w:t>、废标条款：</w:t>
      </w:r>
    </w:p>
    <w:p>
      <w:pPr>
        <w:spacing w:before="168" w:line="231" w:lineRule="exact"/>
        <w:ind w:left="797"/>
        <w:rPr>
          <w:rFonts w:hAnsi="Calibri" w:eastAsia="Times New Roman"/>
          <w:color w:val="000000"/>
          <w:sz w:val="22"/>
          <w:szCs w:val="22"/>
        </w:rPr>
      </w:pPr>
      <w:r>
        <w:rPr>
          <w:rFonts w:ascii="VRONMH+å®ä½" w:hAnsi="VRONMH+å®ä½" w:eastAsia="Times New Roman" w:cs="VRONMH+å®ä½"/>
          <w:color w:val="000000"/>
          <w:spacing w:val="1"/>
          <w:sz w:val="22"/>
          <w:szCs w:val="22"/>
        </w:rPr>
        <w:t>（</w:t>
      </w:r>
      <w:r>
        <w:rPr>
          <w:rFonts w:ascii="NCKLGB+å®ä½" w:hAnsi="Calibri" w:eastAsia="Times New Roman"/>
          <w:color w:val="000000"/>
          <w:sz w:val="22"/>
          <w:szCs w:val="22"/>
        </w:rPr>
        <w:t>1</w:t>
      </w:r>
      <w:r>
        <w:rPr>
          <w:rFonts w:ascii="VRONMH+å®ä½" w:hAnsi="VRONMH+å®ä½" w:eastAsia="Times New Roman" w:cs="VRONMH+å®ä½"/>
          <w:color w:val="000000"/>
          <w:sz w:val="22"/>
          <w:szCs w:val="22"/>
        </w:rPr>
        <w:t>）在形式评审与响应性评审、资格评审中，评标委员会认定投标人的投标不符合评标</w:t>
      </w:r>
    </w:p>
    <w:p>
      <w:pPr>
        <w:spacing w:before="172" w:line="231" w:lineRule="exact"/>
        <w:ind w:left="356"/>
        <w:rPr>
          <w:rFonts w:hAnsi="Calibri" w:eastAsia="Times New Roman"/>
          <w:color w:val="000000"/>
          <w:sz w:val="22"/>
          <w:szCs w:val="22"/>
        </w:rPr>
      </w:pPr>
      <w:r>
        <w:rPr>
          <w:rFonts w:ascii="VRONMH+å®ä½" w:hAnsi="VRONMH+å®ä½" w:eastAsia="Times New Roman" w:cs="VRONMH+å®ä½"/>
          <w:color w:val="000000"/>
          <w:sz w:val="22"/>
          <w:szCs w:val="22"/>
        </w:rPr>
        <w:t>办法前附表中规定的任何一项评审标准的；</w:t>
      </w:r>
    </w:p>
    <w:p>
      <w:pPr>
        <w:spacing w:before="168" w:line="231" w:lineRule="exact"/>
        <w:ind w:left="797"/>
        <w:rPr>
          <w:rFonts w:hAnsi="Calibri" w:eastAsia="Times New Roman"/>
          <w:color w:val="000000"/>
          <w:sz w:val="22"/>
          <w:szCs w:val="22"/>
        </w:rPr>
      </w:pPr>
      <w:r>
        <w:rPr>
          <w:rFonts w:ascii="VRONMH+å®ä½" w:hAnsi="VRONMH+å®ä½" w:eastAsia="Times New Roman" w:cs="VRONMH+å®ä½"/>
          <w:color w:val="000000"/>
          <w:spacing w:val="1"/>
          <w:sz w:val="22"/>
          <w:szCs w:val="22"/>
        </w:rPr>
        <w:t>（</w:t>
      </w:r>
      <w:r>
        <w:rPr>
          <w:rFonts w:ascii="NCKLGB+å®ä½" w:hAnsi="Calibri" w:eastAsia="Times New Roman"/>
          <w:color w:val="000000"/>
          <w:sz w:val="22"/>
          <w:szCs w:val="22"/>
        </w:rPr>
        <w:t>2</w:t>
      </w:r>
      <w:r>
        <w:rPr>
          <w:rFonts w:ascii="VRONMH+å®ä½" w:hAnsi="VRONMH+å®ä½" w:eastAsia="Times New Roman" w:cs="VRONMH+å®ä½"/>
          <w:color w:val="000000"/>
          <w:sz w:val="22"/>
          <w:szCs w:val="22"/>
        </w:rPr>
        <w:t>）评标委员会认定投标人以低于成本报价竞标的；</w:t>
      </w:r>
    </w:p>
    <w:p>
      <w:pPr>
        <w:spacing w:before="168" w:line="231" w:lineRule="exact"/>
        <w:ind w:left="797"/>
        <w:rPr>
          <w:rFonts w:hAnsi="Calibri" w:eastAsia="Times New Roman"/>
          <w:color w:val="000000"/>
          <w:sz w:val="22"/>
          <w:szCs w:val="22"/>
        </w:rPr>
      </w:pPr>
      <w:r>
        <w:rPr>
          <w:rFonts w:ascii="VRONMH+å®ä½" w:hAnsi="VRONMH+å®ä½" w:eastAsia="Times New Roman" w:cs="VRONMH+å®ä½"/>
          <w:color w:val="000000"/>
          <w:spacing w:val="1"/>
          <w:sz w:val="22"/>
          <w:szCs w:val="22"/>
        </w:rPr>
        <w:t>（</w:t>
      </w:r>
      <w:r>
        <w:rPr>
          <w:rFonts w:ascii="NCKLGB+å®ä½" w:hAnsi="Calibri" w:eastAsia="Times New Roman"/>
          <w:color w:val="000000"/>
          <w:sz w:val="22"/>
          <w:szCs w:val="22"/>
        </w:rPr>
        <w:t>3</w:t>
      </w:r>
      <w:r>
        <w:rPr>
          <w:rFonts w:ascii="VRONMH+å®ä½" w:hAnsi="VRONMH+å®ä½" w:eastAsia="Times New Roman" w:cs="VRONMH+å®ä½"/>
          <w:color w:val="000000"/>
          <w:sz w:val="22"/>
          <w:szCs w:val="22"/>
        </w:rPr>
        <w:t>）与其他投标人的投标文件分部、分项报价错漏一致，且没有合理解释的；</w:t>
      </w:r>
    </w:p>
    <w:p>
      <w:pPr>
        <w:spacing w:before="172" w:line="231" w:lineRule="exact"/>
        <w:ind w:left="797"/>
        <w:rPr>
          <w:rFonts w:hAnsi="Calibri" w:eastAsia="Times New Roman"/>
          <w:color w:val="000000"/>
          <w:sz w:val="22"/>
          <w:szCs w:val="22"/>
        </w:rPr>
      </w:pPr>
      <w:r>
        <w:rPr>
          <w:rFonts w:ascii="VRONMH+å®ä½" w:hAnsi="VRONMH+å®ä½" w:eastAsia="Times New Roman" w:cs="VRONMH+å®ä½"/>
          <w:color w:val="000000"/>
          <w:spacing w:val="1"/>
          <w:sz w:val="22"/>
          <w:szCs w:val="22"/>
        </w:rPr>
        <w:t>（</w:t>
      </w:r>
      <w:r>
        <w:rPr>
          <w:rFonts w:ascii="NCKLGB+å®ä½" w:hAnsi="Calibri" w:eastAsia="Times New Roman"/>
          <w:color w:val="000000"/>
          <w:sz w:val="22"/>
          <w:szCs w:val="22"/>
        </w:rPr>
        <w:t>4</w:t>
      </w:r>
      <w:r>
        <w:rPr>
          <w:rFonts w:ascii="VRONMH+å®ä½" w:hAnsi="VRONMH+å®ä½" w:eastAsia="Times New Roman" w:cs="VRONMH+å®ä½"/>
          <w:color w:val="000000"/>
          <w:sz w:val="22"/>
          <w:szCs w:val="22"/>
        </w:rPr>
        <w:t>）与其他投标人的投标文件存在不应有的雷同；</w:t>
      </w:r>
    </w:p>
    <w:p>
      <w:pPr>
        <w:spacing w:before="168" w:line="231" w:lineRule="exact"/>
        <w:ind w:left="797"/>
        <w:rPr>
          <w:rFonts w:hAnsi="Calibri" w:eastAsia="Times New Roman"/>
          <w:color w:val="000000"/>
          <w:sz w:val="22"/>
          <w:szCs w:val="22"/>
        </w:rPr>
      </w:pPr>
      <w:r>
        <w:rPr>
          <w:rFonts w:ascii="VRONMH+å®ä½" w:hAnsi="VRONMH+å®ä½" w:eastAsia="Times New Roman" w:cs="VRONMH+å®ä½"/>
          <w:color w:val="000000"/>
          <w:spacing w:val="1"/>
          <w:sz w:val="22"/>
          <w:szCs w:val="22"/>
        </w:rPr>
        <w:t>（</w:t>
      </w:r>
      <w:r>
        <w:rPr>
          <w:rFonts w:ascii="NCKLGB+å®ä½" w:hAnsi="Calibri" w:eastAsia="Times New Roman"/>
          <w:color w:val="000000"/>
          <w:sz w:val="22"/>
          <w:szCs w:val="22"/>
        </w:rPr>
        <w:t>5</w:t>
      </w:r>
      <w:r>
        <w:rPr>
          <w:rFonts w:ascii="VRONMH+å®ä½" w:hAnsi="VRONMH+å®ä½" w:eastAsia="Times New Roman" w:cs="VRONMH+å®ä½"/>
          <w:color w:val="000000"/>
          <w:sz w:val="22"/>
          <w:szCs w:val="22"/>
        </w:rPr>
        <w:t>）有串通投标或弄虚作假或有其他违法行为的；</w:t>
      </w:r>
    </w:p>
    <w:p>
      <w:pPr>
        <w:spacing w:before="168" w:line="231" w:lineRule="exact"/>
        <w:ind w:left="797"/>
        <w:rPr>
          <w:rFonts w:hAnsi="Calibri" w:eastAsia="Times New Roman"/>
          <w:color w:val="000000"/>
          <w:sz w:val="22"/>
          <w:szCs w:val="22"/>
        </w:rPr>
      </w:pPr>
      <w:r>
        <w:rPr>
          <w:rFonts w:ascii="VRONMH+å®ä½" w:hAnsi="VRONMH+å®ä½" w:eastAsia="Times New Roman" w:cs="VRONMH+å®ä½"/>
          <w:color w:val="000000"/>
          <w:spacing w:val="1"/>
          <w:sz w:val="22"/>
          <w:szCs w:val="22"/>
        </w:rPr>
        <w:t>（</w:t>
      </w:r>
      <w:r>
        <w:rPr>
          <w:rFonts w:ascii="NCKLGB+å®ä½" w:hAnsi="Calibri" w:eastAsia="Times New Roman"/>
          <w:color w:val="000000"/>
          <w:sz w:val="22"/>
          <w:szCs w:val="22"/>
        </w:rPr>
        <w:t>6</w:t>
      </w:r>
      <w:r>
        <w:rPr>
          <w:rFonts w:ascii="VRONMH+å®ä½" w:hAnsi="VRONMH+å®ä½" w:eastAsia="Times New Roman" w:cs="VRONMH+å®ä½"/>
          <w:color w:val="000000"/>
          <w:sz w:val="22"/>
          <w:szCs w:val="22"/>
        </w:rPr>
        <w:t>）投标人不按评标委员会要求澄清、说明或补正的；</w:t>
      </w:r>
    </w:p>
    <w:p>
      <w:pPr>
        <w:spacing w:before="173" w:line="231" w:lineRule="exact"/>
        <w:ind w:left="797"/>
        <w:rPr>
          <w:rFonts w:hAnsi="Calibri" w:eastAsia="Times New Roman"/>
          <w:color w:val="000000"/>
          <w:sz w:val="22"/>
          <w:szCs w:val="22"/>
        </w:rPr>
      </w:pPr>
      <w:r>
        <w:rPr>
          <w:rFonts w:ascii="VRONMH+å®ä½" w:hAnsi="VRONMH+å®ä½" w:eastAsia="Times New Roman" w:cs="VRONMH+å®ä½"/>
          <w:color w:val="000000"/>
          <w:spacing w:val="1"/>
          <w:sz w:val="22"/>
          <w:szCs w:val="22"/>
        </w:rPr>
        <w:t>（</w:t>
      </w:r>
      <w:r>
        <w:rPr>
          <w:rFonts w:ascii="NCKLGB+å®ä½" w:hAnsi="Calibri" w:eastAsia="Times New Roman"/>
          <w:color w:val="000000"/>
          <w:sz w:val="22"/>
          <w:szCs w:val="22"/>
        </w:rPr>
        <w:t>7</w:t>
      </w:r>
      <w:r>
        <w:rPr>
          <w:rFonts w:ascii="VRONMH+å®ä½" w:hAnsi="VRONMH+å®ä½" w:eastAsia="Times New Roman" w:cs="VRONMH+å®ä½"/>
          <w:color w:val="000000"/>
          <w:sz w:val="22"/>
          <w:szCs w:val="22"/>
        </w:rPr>
        <w:t>）不同投标人的投标报价或者报价组成异常一致或者呈规律性变化的；</w:t>
      </w:r>
    </w:p>
    <w:p>
      <w:pPr>
        <w:spacing w:before="168" w:line="231" w:lineRule="exact"/>
        <w:ind w:left="797"/>
        <w:rPr>
          <w:rFonts w:hAnsi="Calibri" w:eastAsia="Times New Roman"/>
          <w:color w:val="000000"/>
          <w:sz w:val="22"/>
          <w:szCs w:val="22"/>
        </w:rPr>
      </w:pPr>
      <w:r>
        <w:rPr>
          <w:rFonts w:ascii="VRONMH+å®ä½" w:hAnsi="VRONMH+å®ä½" w:eastAsia="Times New Roman" w:cs="VRONMH+å®ä½"/>
          <w:color w:val="000000"/>
          <w:spacing w:val="1"/>
          <w:sz w:val="22"/>
          <w:szCs w:val="22"/>
        </w:rPr>
        <w:t>（</w:t>
      </w:r>
      <w:r>
        <w:rPr>
          <w:rFonts w:ascii="NCKLGB+å®ä½" w:hAnsi="Calibri" w:eastAsia="Times New Roman"/>
          <w:color w:val="000000"/>
          <w:sz w:val="22"/>
          <w:szCs w:val="22"/>
        </w:rPr>
        <w:t>8</w:t>
      </w:r>
      <w:r>
        <w:rPr>
          <w:rFonts w:ascii="VRONMH+å®ä½" w:hAnsi="VRONMH+å®ä½" w:eastAsia="Times New Roman" w:cs="VRONMH+å®ä½"/>
          <w:color w:val="000000"/>
          <w:sz w:val="22"/>
          <w:szCs w:val="22"/>
        </w:rPr>
        <w:t>）投标文件附有招标人不能接受的条件；</w:t>
      </w:r>
    </w:p>
    <w:p>
      <w:pPr>
        <w:spacing w:before="168" w:line="231" w:lineRule="exact"/>
        <w:ind w:left="797"/>
        <w:rPr>
          <w:rFonts w:hAnsi="Calibri" w:eastAsia="Times New Roman"/>
          <w:color w:val="000000"/>
          <w:sz w:val="22"/>
          <w:szCs w:val="22"/>
        </w:rPr>
      </w:pPr>
      <w:r>
        <w:rPr>
          <w:rFonts w:ascii="VRONMH+å®ä½" w:hAnsi="VRONMH+å®ä½" w:eastAsia="Times New Roman" w:cs="VRONMH+å®ä½"/>
          <w:color w:val="000000"/>
          <w:spacing w:val="1"/>
          <w:sz w:val="22"/>
          <w:szCs w:val="22"/>
        </w:rPr>
        <w:t>（</w:t>
      </w:r>
      <w:r>
        <w:rPr>
          <w:rFonts w:ascii="NCKLGB+å®ä½" w:hAnsi="Calibri" w:eastAsia="Times New Roman"/>
          <w:color w:val="000000"/>
          <w:sz w:val="22"/>
          <w:szCs w:val="22"/>
        </w:rPr>
        <w:t>9</w:t>
      </w:r>
      <w:r>
        <w:rPr>
          <w:rFonts w:ascii="VRONMH+å®ä½" w:hAnsi="VRONMH+å®ä½" w:eastAsia="Times New Roman" w:cs="VRONMH+å®ä½"/>
          <w:color w:val="000000"/>
          <w:sz w:val="22"/>
          <w:szCs w:val="22"/>
        </w:rPr>
        <w:t>）不符合招标文件中规定的其他实质性要求的。</w:t>
      </w:r>
    </w:p>
    <w:p>
      <w:pPr>
        <w:spacing w:before="6702" w:line="192" w:lineRule="exact"/>
        <w:ind w:left="4327"/>
        <w:rPr>
          <w:rFonts w:ascii="NCKLGB+å®ä½" w:hAnsi="Calibri" w:eastAsia="Times New Roman"/>
          <w:color w:val="000000"/>
          <w:sz w:val="18"/>
          <w:szCs w:val="22"/>
        </w:rPr>
        <w:sectPr>
          <w:pgSz w:w="11900" w:h="16820"/>
          <w:pgMar w:top="1635" w:right="100" w:bottom="0" w:left="1541" w:header="720" w:footer="720" w:gutter="0"/>
          <w:pgNumType w:start="1"/>
          <w:cols w:space="720" w:num="1"/>
          <w:docGrid w:linePitch="1" w:charSpace="0"/>
        </w:sectPr>
      </w:pPr>
    </w:p>
    <w:p>
      <w:pPr>
        <w:spacing w:line="288" w:lineRule="exact"/>
        <w:rPr>
          <w:rFonts w:hAnsi="Calibri" w:eastAsia="Times New Roman"/>
          <w:color w:val="000000"/>
          <w:sz w:val="28"/>
          <w:szCs w:val="22"/>
        </w:rPr>
      </w:pPr>
      <w:r>
        <w:rPr>
          <w:rFonts w:ascii="IUOKUJ+å®ä½" w:hAnsi="Calibri" w:eastAsia="Times New Roman"/>
          <w:color w:val="000000"/>
          <w:spacing w:val="-1"/>
          <w:sz w:val="28"/>
          <w:szCs w:val="22"/>
        </w:rPr>
        <w:t xml:space="preserve">1. </w:t>
      </w:r>
      <w:r>
        <w:rPr>
          <w:rFonts w:ascii="QODODJ+é»ä½" w:hAnsi="QODODJ+é»ä½" w:eastAsia="Times New Roman" w:cs="QODODJ+é»ä½"/>
          <w:color w:val="000000"/>
          <w:sz w:val="28"/>
          <w:szCs w:val="22"/>
        </w:rPr>
        <w:t>评标方法</w:t>
      </w:r>
    </w:p>
    <w:p>
      <w:pPr>
        <w:spacing w:before="374" w:line="250" w:lineRule="exact"/>
        <w:ind w:left="480"/>
        <w:rPr>
          <w:rFonts w:hAnsi="Calibri" w:eastAsia="Times New Roman"/>
          <w:color w:val="000000"/>
          <w:szCs w:val="22"/>
        </w:rPr>
      </w:pPr>
      <w:r>
        <w:rPr>
          <w:rFonts w:ascii="BKBKCR+å®ä½" w:hAnsi="BKBKCR+å®ä½" w:eastAsia="Times New Roman" w:cs="BKBKCR+å®ä½"/>
          <w:color w:val="000000"/>
          <w:szCs w:val="22"/>
        </w:rPr>
        <w:t>本次评标采用合理低价法。评标委员会对满足招标文件实质性要求的投标文件，按照</w:t>
      </w:r>
    </w:p>
    <w:p>
      <w:pPr>
        <w:spacing w:before="216" w:line="250" w:lineRule="exact"/>
        <w:rPr>
          <w:rFonts w:hAnsi="Calibri" w:eastAsia="Times New Roman"/>
          <w:color w:val="000000"/>
          <w:szCs w:val="22"/>
        </w:rPr>
      </w:pPr>
      <w:r>
        <w:rPr>
          <w:rFonts w:ascii="BKBKCR+å®ä½" w:hAnsi="BKBKCR+å®ä½" w:eastAsia="Times New Roman" w:cs="BKBKCR+å®ä½"/>
          <w:color w:val="000000"/>
          <w:szCs w:val="22"/>
        </w:rPr>
        <w:t>本章第</w:t>
      </w:r>
      <w:r>
        <w:rPr>
          <w:rFonts w:ascii="IUOKUJ+å®ä½" w:hAnsi="Calibri" w:eastAsia="Times New Roman"/>
          <w:color w:val="000000"/>
          <w:szCs w:val="22"/>
        </w:rPr>
        <w:t>2.2</w:t>
      </w:r>
      <w:r>
        <w:rPr>
          <w:rFonts w:ascii="BKBKCR+å®ä½" w:hAnsi="BKBKCR+å®ä½" w:eastAsia="Times New Roman" w:cs="BKBKCR+å®ä½"/>
          <w:color w:val="000000"/>
          <w:szCs w:val="22"/>
        </w:rPr>
        <w:t>款规定的评分标准进行打分，并按得分由高到低顺序推荐中标候选人，或根据招</w:t>
      </w:r>
    </w:p>
    <w:p>
      <w:pPr>
        <w:spacing w:before="216" w:line="250" w:lineRule="exact"/>
        <w:rPr>
          <w:rFonts w:hAnsi="Calibri" w:eastAsia="Times New Roman"/>
          <w:color w:val="000000"/>
          <w:szCs w:val="22"/>
        </w:rPr>
      </w:pPr>
      <w:r>
        <w:rPr>
          <w:rFonts w:ascii="BKBKCR+å®ä½" w:hAnsi="BKBKCR+å®ä½" w:eastAsia="Times New Roman" w:cs="BKBKCR+å®ä½"/>
          <w:color w:val="000000"/>
          <w:szCs w:val="22"/>
        </w:rPr>
        <w:t>标人授权直接确定中标人，但投标报价低于其成本的除外。综合评分相等时，评标委员会</w:t>
      </w:r>
    </w:p>
    <w:p>
      <w:pPr>
        <w:spacing w:before="220" w:line="250" w:lineRule="exact"/>
        <w:rPr>
          <w:rFonts w:hAnsi="Calibri" w:eastAsia="Times New Roman"/>
          <w:color w:val="000000"/>
          <w:szCs w:val="22"/>
        </w:rPr>
      </w:pPr>
      <w:r>
        <w:rPr>
          <w:rFonts w:ascii="BKBKCR+å®ä½" w:hAnsi="BKBKCR+å®ä½" w:eastAsia="Times New Roman" w:cs="BKBKCR+å®ä½"/>
          <w:color w:val="000000"/>
          <w:szCs w:val="22"/>
        </w:rPr>
        <w:t>应按照评标办法前附表规定的优先次序推荐中标候选人或确定中标人。</w:t>
      </w:r>
    </w:p>
    <w:p>
      <w:pPr>
        <w:spacing w:before="341" w:line="288" w:lineRule="exact"/>
        <w:rPr>
          <w:rFonts w:hAnsi="Calibri" w:eastAsia="Times New Roman"/>
          <w:color w:val="000000"/>
          <w:sz w:val="28"/>
          <w:szCs w:val="22"/>
        </w:rPr>
      </w:pPr>
      <w:r>
        <w:rPr>
          <w:rFonts w:ascii="IUOKUJ+å®ä½" w:hAnsi="Calibri" w:eastAsia="Times New Roman"/>
          <w:color w:val="000000"/>
          <w:spacing w:val="-1"/>
          <w:sz w:val="28"/>
          <w:szCs w:val="22"/>
        </w:rPr>
        <w:t xml:space="preserve">2. </w:t>
      </w:r>
      <w:r>
        <w:rPr>
          <w:rFonts w:ascii="QODODJ+é»ä½" w:hAnsi="QODODJ+é»ä½" w:eastAsia="Times New Roman" w:cs="QODODJ+é»ä½"/>
          <w:color w:val="000000"/>
          <w:sz w:val="28"/>
          <w:szCs w:val="22"/>
        </w:rPr>
        <w:t>评审标准</w:t>
      </w:r>
    </w:p>
    <w:p>
      <w:pPr>
        <w:spacing w:before="369" w:line="250" w:lineRule="exact"/>
        <w:ind w:left="360"/>
        <w:rPr>
          <w:rFonts w:hAnsi="Calibri" w:eastAsia="Times New Roman"/>
          <w:color w:val="000000"/>
          <w:szCs w:val="22"/>
        </w:rPr>
      </w:pPr>
      <w:r>
        <w:rPr>
          <w:rFonts w:ascii="IUOKUJ+å®ä½" w:hAnsi="Calibri" w:eastAsia="Times New Roman"/>
          <w:color w:val="000000"/>
          <w:spacing w:val="2"/>
          <w:szCs w:val="22"/>
        </w:rPr>
        <w:t>2.1</w:t>
      </w:r>
      <w:r>
        <w:rPr>
          <w:rFonts w:ascii="IUOKUJ+å®ä½" w:hAnsi="Calibri" w:eastAsia="Times New Roman"/>
          <w:color w:val="000000"/>
          <w:spacing w:val="-2"/>
          <w:szCs w:val="22"/>
        </w:rPr>
        <w:t xml:space="preserve"> </w:t>
      </w:r>
      <w:r>
        <w:rPr>
          <w:rFonts w:ascii="BKBKCR+å®ä½" w:hAnsi="BKBKCR+å®ä½" w:eastAsia="Times New Roman" w:cs="BKBKCR+å®ä½"/>
          <w:color w:val="000000"/>
          <w:spacing w:val="1"/>
          <w:szCs w:val="22"/>
        </w:rPr>
        <w:t>初步评审标准</w:t>
      </w:r>
    </w:p>
    <w:p>
      <w:pPr>
        <w:spacing w:before="341" w:line="250" w:lineRule="exact"/>
        <w:ind w:left="480"/>
        <w:rPr>
          <w:rFonts w:hAnsi="Calibri" w:eastAsia="Times New Roman"/>
          <w:color w:val="000000"/>
          <w:szCs w:val="22"/>
        </w:rPr>
      </w:pPr>
      <w:r>
        <w:rPr>
          <w:rFonts w:ascii="IUOKUJ+å®ä½" w:hAnsi="Calibri" w:eastAsia="Times New Roman"/>
          <w:color w:val="000000"/>
          <w:szCs w:val="22"/>
        </w:rPr>
        <w:t>2.1.1</w:t>
      </w:r>
      <w:r>
        <w:rPr>
          <w:rFonts w:ascii="BKBKCR+å®ä½" w:hAnsi="BKBKCR+å®ä½" w:eastAsia="Times New Roman" w:cs="BKBKCR+å®ä½"/>
          <w:color w:val="000000"/>
          <w:szCs w:val="22"/>
        </w:rPr>
        <w:t>形式评审标准：见评标办法前附表。</w:t>
      </w:r>
    </w:p>
    <w:p>
      <w:pPr>
        <w:spacing w:before="216" w:line="250" w:lineRule="exact"/>
        <w:ind w:left="480"/>
        <w:rPr>
          <w:rFonts w:hAnsi="Calibri" w:eastAsia="Times New Roman"/>
          <w:color w:val="000000"/>
          <w:szCs w:val="22"/>
        </w:rPr>
      </w:pPr>
      <w:r>
        <w:rPr>
          <w:rFonts w:ascii="IUOKUJ+å®ä½" w:hAnsi="Calibri" w:eastAsia="Times New Roman"/>
          <w:color w:val="000000"/>
          <w:szCs w:val="22"/>
        </w:rPr>
        <w:t>2.1.2</w:t>
      </w:r>
      <w:r>
        <w:rPr>
          <w:rFonts w:ascii="BKBKCR+å®ä½" w:hAnsi="BKBKCR+å®ä½" w:eastAsia="Times New Roman" w:cs="BKBKCR+å®ä½"/>
          <w:color w:val="000000"/>
          <w:szCs w:val="22"/>
        </w:rPr>
        <w:t>资格评审标准：见评标办法前附表（适用于未进行资格预审的）。</w:t>
      </w:r>
    </w:p>
    <w:p>
      <w:pPr>
        <w:spacing w:before="216" w:line="250" w:lineRule="exact"/>
        <w:ind w:left="480"/>
        <w:rPr>
          <w:rFonts w:hAnsi="Calibri" w:eastAsia="Times New Roman"/>
          <w:color w:val="000000"/>
          <w:szCs w:val="22"/>
        </w:rPr>
      </w:pPr>
      <w:r>
        <w:rPr>
          <w:rFonts w:ascii="IUOKUJ+å®ä½" w:hAnsi="Calibri" w:eastAsia="Times New Roman"/>
          <w:color w:val="000000"/>
          <w:szCs w:val="22"/>
        </w:rPr>
        <w:t>2.1.2</w:t>
      </w:r>
      <w:r>
        <w:rPr>
          <w:rFonts w:ascii="BKBKCR+å®ä½" w:hAnsi="BKBKCR+å®ä½" w:eastAsia="Times New Roman" w:cs="BKBKCR+å®ä½"/>
          <w:color w:val="000000"/>
          <w:szCs w:val="22"/>
        </w:rPr>
        <w:t>资格评审标准：见资格预审文件第三章“资格审查办法”详细审查标准（适用于</w:t>
      </w:r>
    </w:p>
    <w:p>
      <w:pPr>
        <w:spacing w:before="216" w:line="250" w:lineRule="exact"/>
        <w:rPr>
          <w:rFonts w:hAnsi="Calibri" w:eastAsia="Times New Roman"/>
          <w:color w:val="000000"/>
          <w:szCs w:val="22"/>
        </w:rPr>
      </w:pPr>
      <w:r>
        <w:rPr>
          <w:rFonts w:ascii="BKBKCR+å®ä½" w:hAnsi="BKBKCR+å®ä½" w:eastAsia="Times New Roman" w:cs="BKBKCR+å®ä½"/>
          <w:color w:val="000000"/>
          <w:szCs w:val="22"/>
        </w:rPr>
        <w:t>已进行资格预审的）。</w:t>
      </w:r>
    </w:p>
    <w:p>
      <w:pPr>
        <w:spacing w:before="221" w:line="250" w:lineRule="exact"/>
        <w:ind w:left="480"/>
        <w:rPr>
          <w:rFonts w:hAnsi="Calibri" w:eastAsia="Times New Roman"/>
          <w:color w:val="000000"/>
          <w:szCs w:val="22"/>
        </w:rPr>
      </w:pPr>
      <w:r>
        <w:rPr>
          <w:rFonts w:ascii="IUOKUJ+å®ä½" w:hAnsi="Calibri" w:eastAsia="Times New Roman"/>
          <w:color w:val="000000"/>
          <w:szCs w:val="22"/>
        </w:rPr>
        <w:t>2.1.3</w:t>
      </w:r>
      <w:r>
        <w:rPr>
          <w:rFonts w:ascii="BKBKCR+å®ä½" w:hAnsi="BKBKCR+å®ä½" w:eastAsia="Times New Roman" w:cs="BKBKCR+å®ä½"/>
          <w:color w:val="000000"/>
          <w:szCs w:val="22"/>
        </w:rPr>
        <w:t>响应性评审标准：见评标办法前附表。</w:t>
      </w:r>
    </w:p>
    <w:p>
      <w:pPr>
        <w:spacing w:before="336" w:line="250" w:lineRule="exact"/>
        <w:ind w:left="360"/>
        <w:rPr>
          <w:rFonts w:hAnsi="Calibri" w:eastAsia="Times New Roman"/>
          <w:color w:val="000000"/>
          <w:szCs w:val="22"/>
        </w:rPr>
      </w:pPr>
      <w:r>
        <w:rPr>
          <w:rFonts w:ascii="IUOKUJ+å®ä½" w:hAnsi="Calibri" w:eastAsia="Times New Roman"/>
          <w:color w:val="000000"/>
          <w:spacing w:val="2"/>
          <w:szCs w:val="22"/>
        </w:rPr>
        <w:t>2.2</w:t>
      </w:r>
      <w:r>
        <w:rPr>
          <w:rFonts w:ascii="IUOKUJ+å®ä½" w:hAnsi="Calibri" w:eastAsia="Times New Roman"/>
          <w:color w:val="000000"/>
          <w:spacing w:val="-2"/>
          <w:szCs w:val="22"/>
        </w:rPr>
        <w:t xml:space="preserve"> </w:t>
      </w:r>
      <w:r>
        <w:rPr>
          <w:rFonts w:ascii="BKBKCR+å®ä½" w:hAnsi="BKBKCR+å®ä½" w:eastAsia="Times New Roman" w:cs="BKBKCR+å®ä½"/>
          <w:color w:val="000000"/>
          <w:spacing w:val="1"/>
          <w:szCs w:val="22"/>
        </w:rPr>
        <w:t>分值构成与评分标准</w:t>
      </w:r>
    </w:p>
    <w:p>
      <w:pPr>
        <w:spacing w:before="336" w:line="250" w:lineRule="exact"/>
        <w:ind w:left="480"/>
        <w:rPr>
          <w:rFonts w:hAnsi="Calibri" w:eastAsia="Times New Roman"/>
          <w:color w:val="000000"/>
          <w:szCs w:val="22"/>
        </w:rPr>
      </w:pPr>
      <w:r>
        <w:rPr>
          <w:rFonts w:ascii="IUOKUJ+å®ä½" w:hAnsi="Calibri" w:eastAsia="Times New Roman"/>
          <w:color w:val="000000"/>
          <w:szCs w:val="22"/>
        </w:rPr>
        <w:t>2.2.1</w:t>
      </w:r>
      <w:r>
        <w:rPr>
          <w:rFonts w:ascii="BKBKCR+å®ä½" w:hAnsi="BKBKCR+å®ä½" w:eastAsia="Times New Roman" w:cs="BKBKCR+å®ä½"/>
          <w:color w:val="000000"/>
          <w:szCs w:val="22"/>
        </w:rPr>
        <w:t>分值构成</w:t>
      </w:r>
    </w:p>
    <w:p>
      <w:pPr>
        <w:spacing w:before="221" w:line="250" w:lineRule="exact"/>
        <w:ind w:left="480"/>
        <w:rPr>
          <w:rFonts w:hAnsi="Calibri" w:eastAsia="Times New Roman"/>
          <w:color w:val="000000"/>
          <w:szCs w:val="22"/>
        </w:rPr>
      </w:pPr>
      <w:r>
        <w:rPr>
          <w:rFonts w:ascii="BKBKCR+å®ä½" w:hAnsi="BKBKCR+å®ä½" w:eastAsia="Times New Roman" w:cs="BKBKCR+å®ä½"/>
          <w:color w:val="000000"/>
          <w:szCs w:val="22"/>
        </w:rPr>
        <w:t>评标价：见评标办法前附表。</w:t>
      </w:r>
    </w:p>
    <w:p>
      <w:pPr>
        <w:spacing w:before="216" w:line="250" w:lineRule="exact"/>
        <w:ind w:left="480"/>
        <w:rPr>
          <w:rFonts w:hAnsi="Calibri" w:eastAsia="Times New Roman"/>
          <w:color w:val="000000"/>
          <w:szCs w:val="22"/>
        </w:rPr>
      </w:pPr>
      <w:r>
        <w:rPr>
          <w:rFonts w:ascii="IUOKUJ+å®ä½" w:hAnsi="Calibri" w:eastAsia="Times New Roman"/>
          <w:color w:val="000000"/>
          <w:szCs w:val="22"/>
        </w:rPr>
        <w:t>2.2.2</w:t>
      </w:r>
      <w:r>
        <w:rPr>
          <w:rFonts w:ascii="BKBKCR+å®ä½" w:hAnsi="BKBKCR+å®ä½" w:eastAsia="Times New Roman" w:cs="BKBKCR+å®ä½"/>
          <w:color w:val="000000"/>
          <w:szCs w:val="22"/>
        </w:rPr>
        <w:t>评标基准价计算</w:t>
      </w:r>
    </w:p>
    <w:p>
      <w:pPr>
        <w:spacing w:before="216" w:line="250" w:lineRule="exact"/>
        <w:ind w:left="480"/>
        <w:rPr>
          <w:rFonts w:hAnsi="Calibri" w:eastAsia="Times New Roman"/>
          <w:color w:val="000000"/>
          <w:szCs w:val="22"/>
        </w:rPr>
      </w:pPr>
      <w:r>
        <w:rPr>
          <w:rFonts w:ascii="BKBKCR+å®ä½" w:hAnsi="BKBKCR+å®ä½" w:eastAsia="Times New Roman" w:cs="BKBKCR+å®ä½"/>
          <w:color w:val="000000"/>
          <w:szCs w:val="22"/>
        </w:rPr>
        <w:t>评标基准价计算方法：见评标办法前附表。</w:t>
      </w:r>
    </w:p>
    <w:p>
      <w:pPr>
        <w:spacing w:before="216" w:line="250" w:lineRule="exact"/>
        <w:ind w:left="480"/>
        <w:rPr>
          <w:rFonts w:hAnsi="Calibri" w:eastAsia="Times New Roman"/>
          <w:color w:val="000000"/>
          <w:szCs w:val="22"/>
        </w:rPr>
      </w:pPr>
      <w:r>
        <w:rPr>
          <w:rFonts w:ascii="IUOKUJ+å®ä½" w:hAnsi="Calibri" w:eastAsia="Times New Roman"/>
          <w:color w:val="000000"/>
          <w:szCs w:val="22"/>
        </w:rPr>
        <w:t>2.2.3</w:t>
      </w:r>
      <w:r>
        <w:rPr>
          <w:rFonts w:ascii="BKBKCR+å®ä½" w:hAnsi="BKBKCR+å®ä½" w:eastAsia="Times New Roman" w:cs="BKBKCR+å®ä½"/>
          <w:color w:val="000000"/>
          <w:szCs w:val="22"/>
        </w:rPr>
        <w:t>评标价的偏差率计算</w:t>
      </w:r>
    </w:p>
    <w:p>
      <w:pPr>
        <w:spacing w:before="220" w:line="250" w:lineRule="exact"/>
        <w:ind w:left="480"/>
        <w:rPr>
          <w:rFonts w:hAnsi="Calibri" w:eastAsia="Times New Roman"/>
          <w:color w:val="000000"/>
          <w:szCs w:val="22"/>
        </w:rPr>
      </w:pPr>
      <w:r>
        <w:rPr>
          <w:rFonts w:ascii="BKBKCR+å®ä½" w:hAnsi="BKBKCR+å®ä½" w:eastAsia="Times New Roman" w:cs="BKBKCR+å®ä½"/>
          <w:color w:val="000000"/>
          <w:szCs w:val="22"/>
        </w:rPr>
        <w:t>评标价的偏差率计算公式：见评标办法前附表。</w:t>
      </w:r>
    </w:p>
    <w:p>
      <w:pPr>
        <w:spacing w:before="216" w:line="250" w:lineRule="exact"/>
        <w:ind w:left="480"/>
        <w:rPr>
          <w:rFonts w:hAnsi="Calibri" w:eastAsia="Times New Roman"/>
          <w:color w:val="000000"/>
          <w:szCs w:val="22"/>
        </w:rPr>
      </w:pPr>
      <w:r>
        <w:rPr>
          <w:rFonts w:ascii="IUOKUJ+å®ä½" w:hAnsi="Calibri" w:eastAsia="Times New Roman"/>
          <w:color w:val="000000"/>
          <w:szCs w:val="22"/>
        </w:rPr>
        <w:t>2.2.4</w:t>
      </w:r>
      <w:r>
        <w:rPr>
          <w:rFonts w:ascii="BKBKCR+å®ä½" w:hAnsi="BKBKCR+å®ä½" w:eastAsia="Times New Roman" w:cs="BKBKCR+å®ä½"/>
          <w:color w:val="000000"/>
          <w:szCs w:val="22"/>
        </w:rPr>
        <w:t>评分标准</w:t>
      </w:r>
    </w:p>
    <w:p>
      <w:pPr>
        <w:spacing w:before="216" w:line="250" w:lineRule="exact"/>
        <w:ind w:left="480"/>
        <w:rPr>
          <w:rFonts w:hAnsi="Calibri" w:eastAsia="Times New Roman"/>
          <w:color w:val="000000"/>
          <w:szCs w:val="22"/>
        </w:rPr>
      </w:pPr>
      <w:r>
        <w:rPr>
          <w:rFonts w:ascii="BKBKCR+å®ä½" w:hAnsi="BKBKCR+å®ä½" w:eastAsia="Times New Roman" w:cs="BKBKCR+å®ä½"/>
          <w:color w:val="000000"/>
          <w:szCs w:val="22"/>
        </w:rPr>
        <w:t>评标价评分标准：见评标办法前附表。</w:t>
      </w:r>
    </w:p>
    <w:p>
      <w:pPr>
        <w:spacing w:before="341" w:line="288" w:lineRule="exact"/>
        <w:rPr>
          <w:rFonts w:hAnsi="Calibri" w:eastAsia="Times New Roman"/>
          <w:color w:val="000000"/>
          <w:sz w:val="28"/>
          <w:szCs w:val="22"/>
        </w:rPr>
      </w:pPr>
      <w:r>
        <w:rPr>
          <w:rFonts w:ascii="IUOKUJ+å®ä½" w:hAnsi="Calibri" w:eastAsia="Times New Roman"/>
          <w:color w:val="000000"/>
          <w:spacing w:val="-1"/>
          <w:sz w:val="28"/>
          <w:szCs w:val="22"/>
        </w:rPr>
        <w:t xml:space="preserve">3. </w:t>
      </w:r>
      <w:r>
        <w:rPr>
          <w:rFonts w:ascii="QODODJ+é»ä½" w:hAnsi="QODODJ+é»ä½" w:eastAsia="Times New Roman" w:cs="QODODJ+é»ä½"/>
          <w:color w:val="000000"/>
          <w:sz w:val="28"/>
          <w:szCs w:val="22"/>
        </w:rPr>
        <w:t>评标程序</w:t>
      </w:r>
    </w:p>
    <w:p>
      <w:pPr>
        <w:spacing w:before="373" w:line="250" w:lineRule="exact"/>
        <w:ind w:left="360"/>
        <w:rPr>
          <w:rFonts w:hAnsi="Calibri" w:eastAsia="Times New Roman"/>
          <w:color w:val="000000"/>
          <w:szCs w:val="22"/>
        </w:rPr>
      </w:pPr>
      <w:r>
        <w:rPr>
          <w:rFonts w:ascii="IUOKUJ+å®ä½" w:hAnsi="Calibri" w:eastAsia="Times New Roman"/>
          <w:color w:val="000000"/>
          <w:spacing w:val="2"/>
          <w:szCs w:val="22"/>
        </w:rPr>
        <w:t>3.1</w:t>
      </w:r>
      <w:r>
        <w:rPr>
          <w:rFonts w:ascii="BKBKCR+å®ä½" w:hAnsi="BKBKCR+å®ä½" w:eastAsia="Times New Roman" w:cs="BKBKCR+å®ä½"/>
          <w:color w:val="000000"/>
          <w:spacing w:val="1"/>
          <w:szCs w:val="22"/>
        </w:rPr>
        <w:t>第一个信封初步评审</w:t>
      </w:r>
    </w:p>
    <w:p>
      <w:pPr>
        <w:spacing w:before="336" w:line="250" w:lineRule="exact"/>
        <w:ind w:left="480"/>
        <w:rPr>
          <w:rFonts w:hAnsi="Calibri" w:eastAsia="Times New Roman"/>
          <w:color w:val="000000"/>
          <w:szCs w:val="22"/>
        </w:rPr>
      </w:pPr>
      <w:r>
        <w:rPr>
          <w:rFonts w:ascii="IUOKUJ+å®ä½" w:hAnsi="Calibri" w:eastAsia="Times New Roman"/>
          <w:color w:val="000000"/>
          <w:szCs w:val="22"/>
        </w:rPr>
        <w:t>3.1.1</w:t>
      </w:r>
      <w:r>
        <w:rPr>
          <w:rFonts w:ascii="BKBKCR+å®ä½" w:hAnsi="BKBKCR+å®ä½" w:eastAsia="Times New Roman" w:cs="BKBKCR+å®ä½"/>
          <w:color w:val="000000"/>
          <w:szCs w:val="22"/>
        </w:rPr>
        <w:t>评标委员会可以要求投标人提交第二章“投标人须知”第</w:t>
      </w:r>
      <w:r>
        <w:rPr>
          <w:rFonts w:ascii="IUOKUJ+å®ä½" w:hAnsi="Calibri" w:eastAsia="Times New Roman"/>
          <w:color w:val="000000"/>
          <w:szCs w:val="22"/>
        </w:rPr>
        <w:t>3.5.1</w:t>
      </w:r>
      <w:r>
        <w:rPr>
          <w:rFonts w:ascii="BKBKCR+å®ä½" w:hAnsi="BKBKCR+å®ä½" w:eastAsia="Times New Roman" w:cs="BKBKCR+å®ä½"/>
          <w:color w:val="000000"/>
          <w:szCs w:val="22"/>
        </w:rPr>
        <w:t>项至第</w:t>
      </w:r>
      <w:r>
        <w:rPr>
          <w:rFonts w:ascii="IUOKUJ+å®ä½" w:hAnsi="Calibri" w:eastAsia="Times New Roman"/>
          <w:color w:val="000000"/>
          <w:szCs w:val="22"/>
        </w:rPr>
        <w:t>3.5.6</w:t>
      </w:r>
      <w:r>
        <w:rPr>
          <w:rFonts w:ascii="BKBKCR+å®ä½" w:hAnsi="BKBKCR+å®ä½" w:eastAsia="Times New Roman" w:cs="BKBKCR+å®ä½"/>
          <w:color w:val="000000"/>
          <w:szCs w:val="22"/>
        </w:rPr>
        <w:t>项规</w:t>
      </w:r>
    </w:p>
    <w:p>
      <w:pPr>
        <w:spacing w:before="216" w:line="250" w:lineRule="exact"/>
        <w:rPr>
          <w:rFonts w:hAnsi="Calibri" w:eastAsia="Times New Roman"/>
          <w:color w:val="000000"/>
          <w:szCs w:val="22"/>
        </w:rPr>
      </w:pPr>
      <w:r>
        <w:rPr>
          <w:rFonts w:ascii="BKBKCR+å®ä½" w:hAnsi="BKBKCR+å®ä½" w:eastAsia="Times New Roman" w:cs="BKBKCR+å®ä½"/>
          <w:color w:val="000000"/>
          <w:szCs w:val="22"/>
        </w:rPr>
        <w:t>定的有关证明和证件的原件，以便核验。评标委员会依据本章第</w:t>
      </w:r>
      <w:r>
        <w:rPr>
          <w:rFonts w:ascii="IUOKUJ+å®ä½" w:hAnsi="Calibri" w:eastAsia="Times New Roman"/>
          <w:color w:val="000000"/>
          <w:szCs w:val="22"/>
        </w:rPr>
        <w:t>2.1</w:t>
      </w:r>
      <w:r>
        <w:rPr>
          <w:rFonts w:ascii="BKBKCR+å®ä½" w:hAnsi="BKBKCR+å®ä½" w:eastAsia="Times New Roman" w:cs="BKBKCR+å®ä½"/>
          <w:color w:val="000000"/>
          <w:szCs w:val="22"/>
        </w:rPr>
        <w:t>款规定的标准对投标文</w:t>
      </w:r>
    </w:p>
    <w:p>
      <w:pPr>
        <w:spacing w:before="220" w:line="250" w:lineRule="exact"/>
        <w:rPr>
          <w:rFonts w:hAnsi="Calibri" w:eastAsia="Times New Roman"/>
          <w:color w:val="000000"/>
          <w:szCs w:val="22"/>
        </w:rPr>
      </w:pPr>
      <w:r>
        <w:rPr>
          <w:rFonts w:ascii="BKBKCR+å®ä½" w:hAnsi="BKBKCR+å®ä½" w:eastAsia="Times New Roman" w:cs="BKBKCR+å®ä½"/>
          <w:color w:val="000000"/>
          <w:szCs w:val="22"/>
        </w:rPr>
        <w:t>件第一个信封（商务及技术文件）进行初步评审。有一项不符合评审标准的，评标委员会</w:t>
      </w:r>
    </w:p>
    <w:p>
      <w:pPr>
        <w:spacing w:before="216" w:line="250" w:lineRule="exact"/>
        <w:rPr>
          <w:rFonts w:hAnsi="Calibri" w:eastAsia="Times New Roman"/>
          <w:color w:val="000000"/>
          <w:szCs w:val="22"/>
        </w:rPr>
      </w:pPr>
      <w:r>
        <w:rPr>
          <w:rFonts w:ascii="BKBKCR+å®ä½" w:hAnsi="BKBKCR+å®ä½" w:eastAsia="Times New Roman" w:cs="BKBKCR+å®ä½"/>
          <w:color w:val="000000"/>
          <w:szCs w:val="22"/>
        </w:rPr>
        <w:t>应否决其投标。</w:t>
      </w:r>
    </w:p>
    <w:p>
      <w:pPr>
        <w:spacing w:before="255" w:line="221" w:lineRule="exact"/>
        <w:ind w:left="4658"/>
        <w:rPr>
          <w:rFonts w:ascii="IUOKUJ+å®ä½" w:hAnsi="Calibri" w:eastAsia="Times New Roman"/>
          <w:color w:val="000000"/>
          <w:sz w:val="21"/>
          <w:szCs w:val="22"/>
        </w:rPr>
        <w:sectPr>
          <w:pgSz w:w="11900" w:h="16840"/>
          <w:pgMar w:top="1568" w:right="100" w:bottom="0" w:left="1191" w:header="720" w:footer="720" w:gutter="0"/>
          <w:pgNumType w:start="1"/>
          <w:cols w:space="720" w:num="1"/>
          <w:docGrid w:linePitch="1" w:charSpace="0"/>
        </w:sectPr>
      </w:pPr>
    </w:p>
    <w:p>
      <w:pPr>
        <w:spacing w:line="250" w:lineRule="exact"/>
        <w:ind w:left="360"/>
        <w:rPr>
          <w:rFonts w:hAnsi="Calibri" w:eastAsia="Times New Roman"/>
          <w:color w:val="000000"/>
          <w:szCs w:val="22"/>
        </w:rPr>
      </w:pPr>
      <w:r>
        <w:drawing>
          <wp:anchor distT="0" distB="0" distL="114300" distR="114300" simplePos="0" relativeHeight="251665408" behindDoc="1" locked="0" layoutInCell="1" allowOverlap="1">
            <wp:simplePos x="0" y="0"/>
            <wp:positionH relativeFrom="page">
              <wp:posOffset>743585</wp:posOffset>
            </wp:positionH>
            <wp:positionV relativeFrom="page">
              <wp:posOffset>9159240</wp:posOffset>
            </wp:positionV>
            <wp:extent cx="1854835" cy="31750"/>
            <wp:effectExtent l="0" t="0" r="12065" b="6350"/>
            <wp:wrapNone/>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4"/>
                    <a:stretch>
                      <a:fillRect/>
                    </a:stretch>
                  </pic:blipFill>
                  <pic:spPr>
                    <a:xfrm>
                      <a:off x="0" y="0"/>
                      <a:ext cx="1854835" cy="31750"/>
                    </a:xfrm>
                    <a:prstGeom prst="rect">
                      <a:avLst/>
                    </a:prstGeom>
                    <a:noFill/>
                    <a:ln>
                      <a:noFill/>
                    </a:ln>
                  </pic:spPr>
                </pic:pic>
              </a:graphicData>
            </a:graphic>
          </wp:anchor>
        </w:drawing>
      </w:r>
      <w:r>
        <w:rPr>
          <w:rFonts w:ascii="NLTSGJ+å®ä½" w:hAnsi="Calibri" w:eastAsia="Times New Roman"/>
          <w:color w:val="000000"/>
          <w:spacing w:val="2"/>
          <w:szCs w:val="22"/>
        </w:rPr>
        <w:t>3.2</w:t>
      </w:r>
      <w:r>
        <w:rPr>
          <w:rFonts w:ascii="AVGNIO+å®ä½" w:hAnsi="AVGNIO+å®ä½" w:eastAsia="Times New Roman" w:cs="AVGNIO+å®ä½"/>
          <w:color w:val="000000"/>
          <w:spacing w:val="1"/>
          <w:szCs w:val="22"/>
        </w:rPr>
        <w:t>第二个信封开标</w:t>
      </w:r>
    </w:p>
    <w:p>
      <w:pPr>
        <w:spacing w:before="340" w:line="250" w:lineRule="exact"/>
        <w:ind w:left="480"/>
        <w:rPr>
          <w:rFonts w:hAnsi="Calibri" w:eastAsia="Times New Roman"/>
          <w:color w:val="000000"/>
          <w:szCs w:val="22"/>
        </w:rPr>
      </w:pPr>
      <w:r>
        <w:rPr>
          <w:rFonts w:ascii="AVGNIO+å®ä½" w:hAnsi="AVGNIO+å®ä½" w:eastAsia="Times New Roman" w:cs="AVGNIO+å®ä½"/>
          <w:color w:val="000000"/>
          <w:szCs w:val="22"/>
        </w:rPr>
        <w:t>第一个信封（商务及技术文件）评审结束后，招标人将按照第二章“投标人须知”第</w:t>
      </w:r>
    </w:p>
    <w:p>
      <w:pPr>
        <w:spacing w:before="216" w:line="250" w:lineRule="exact"/>
        <w:rPr>
          <w:rFonts w:hAnsi="Calibri" w:eastAsia="Times New Roman"/>
          <w:color w:val="000000"/>
          <w:szCs w:val="22"/>
        </w:rPr>
      </w:pPr>
      <w:r>
        <w:rPr>
          <w:rFonts w:ascii="NLTSGJ+å®ä½" w:hAnsi="Calibri" w:eastAsia="Times New Roman"/>
          <w:color w:val="000000"/>
          <w:szCs w:val="22"/>
        </w:rPr>
        <w:t>5.1</w:t>
      </w:r>
      <w:r>
        <w:rPr>
          <w:rFonts w:ascii="AVGNIO+å®ä½" w:hAnsi="AVGNIO+å®ä½" w:eastAsia="Times New Roman" w:cs="AVGNIO+å®ä½"/>
          <w:color w:val="000000"/>
          <w:szCs w:val="22"/>
        </w:rPr>
        <w:t>款规定的时间和地点对通过投标文件第一个信封（商务及技术文件）评审的投标文件第</w:t>
      </w:r>
    </w:p>
    <w:p>
      <w:pPr>
        <w:spacing w:before="216" w:line="250" w:lineRule="exact"/>
        <w:rPr>
          <w:rFonts w:hAnsi="Calibri" w:eastAsia="Times New Roman"/>
          <w:color w:val="000000"/>
          <w:szCs w:val="22"/>
        </w:rPr>
      </w:pPr>
      <w:r>
        <w:rPr>
          <w:rFonts w:ascii="AVGNIO+å®ä½" w:hAnsi="AVGNIO+å®ä½" w:eastAsia="Times New Roman" w:cs="AVGNIO+å®ä½"/>
          <w:color w:val="000000"/>
          <w:szCs w:val="22"/>
        </w:rPr>
        <w:t>二个信封（报价文件）进行开标。</w:t>
      </w:r>
    </w:p>
    <w:p>
      <w:pPr>
        <w:spacing w:before="336" w:line="250" w:lineRule="exact"/>
        <w:ind w:left="360"/>
        <w:rPr>
          <w:rFonts w:hAnsi="Calibri" w:eastAsia="Times New Roman"/>
          <w:color w:val="000000"/>
          <w:szCs w:val="22"/>
        </w:rPr>
      </w:pPr>
      <w:r>
        <w:rPr>
          <w:rFonts w:ascii="NLTSGJ+å®ä½" w:hAnsi="Calibri" w:eastAsia="Times New Roman"/>
          <w:color w:val="000000"/>
          <w:spacing w:val="2"/>
          <w:szCs w:val="22"/>
        </w:rPr>
        <w:t>3.3</w:t>
      </w:r>
      <w:r>
        <w:rPr>
          <w:rFonts w:ascii="AVGNIO+å®ä½" w:hAnsi="AVGNIO+å®ä½" w:eastAsia="Times New Roman" w:cs="AVGNIO+å®ä½"/>
          <w:color w:val="000000"/>
          <w:spacing w:val="1"/>
          <w:szCs w:val="22"/>
        </w:rPr>
        <w:t>第二个信封初步评审</w:t>
      </w:r>
    </w:p>
    <w:p>
      <w:pPr>
        <w:spacing w:before="341" w:line="250" w:lineRule="exact"/>
        <w:ind w:left="480"/>
        <w:rPr>
          <w:rFonts w:hAnsi="Calibri" w:eastAsia="Times New Roman"/>
          <w:color w:val="000000"/>
          <w:szCs w:val="22"/>
        </w:rPr>
      </w:pPr>
      <w:r>
        <w:rPr>
          <w:rFonts w:ascii="NLTSGJ+å®ä½" w:hAnsi="Calibri" w:eastAsia="Times New Roman"/>
          <w:color w:val="000000"/>
          <w:szCs w:val="22"/>
        </w:rPr>
        <w:t>3.3.1</w:t>
      </w:r>
      <w:r>
        <w:rPr>
          <w:rFonts w:ascii="AVGNIO+å®ä½" w:hAnsi="AVGNIO+å®ä½" w:eastAsia="Times New Roman" w:cs="AVGNIO+å®ä½"/>
          <w:color w:val="000000"/>
          <w:szCs w:val="22"/>
        </w:rPr>
        <w:t>评标委员会依据本章第</w:t>
      </w:r>
      <w:r>
        <w:rPr>
          <w:rFonts w:ascii="NLTSGJ+å®ä½" w:hAnsi="Calibri" w:eastAsia="Times New Roman"/>
          <w:color w:val="000000"/>
          <w:szCs w:val="22"/>
        </w:rPr>
        <w:t>2.1.1</w:t>
      </w:r>
      <w:r>
        <w:rPr>
          <w:rFonts w:ascii="AVGNIO+å®ä½" w:hAnsi="AVGNIO+å®ä½" w:eastAsia="Times New Roman" w:cs="AVGNIO+å®ä½"/>
          <w:color w:val="000000"/>
          <w:szCs w:val="22"/>
        </w:rPr>
        <w:t>项、第</w:t>
      </w:r>
      <w:r>
        <w:rPr>
          <w:rFonts w:ascii="NLTSGJ+å®ä½" w:hAnsi="Calibri" w:eastAsia="Times New Roman"/>
          <w:color w:val="000000"/>
          <w:szCs w:val="22"/>
        </w:rPr>
        <w:t>2.1.3</w:t>
      </w:r>
      <w:r>
        <w:rPr>
          <w:rFonts w:ascii="AVGNIO+å®ä½" w:hAnsi="AVGNIO+å®ä½" w:eastAsia="Times New Roman" w:cs="AVGNIO+å®ä½"/>
          <w:color w:val="000000"/>
          <w:szCs w:val="22"/>
        </w:rPr>
        <w:t>项规定的评审标准对投标文件第二个信</w:t>
      </w:r>
    </w:p>
    <w:p>
      <w:pPr>
        <w:spacing w:before="216" w:line="250" w:lineRule="exact"/>
        <w:rPr>
          <w:rFonts w:hAnsi="Calibri" w:eastAsia="Times New Roman"/>
          <w:color w:val="000000"/>
          <w:szCs w:val="22"/>
        </w:rPr>
      </w:pPr>
      <w:r>
        <w:rPr>
          <w:rFonts w:ascii="AVGNIO+å®ä½" w:hAnsi="AVGNIO+å®ä½" w:eastAsia="Times New Roman" w:cs="AVGNIO+å®ä½"/>
          <w:color w:val="000000"/>
          <w:szCs w:val="22"/>
        </w:rPr>
        <w:t>封（报价文件）进行初步评审。有一项不符合评审标准的，评标委员会应否决其投标。</w:t>
      </w:r>
    </w:p>
    <w:p>
      <w:pPr>
        <w:spacing w:before="182" w:line="267" w:lineRule="exact"/>
        <w:ind w:left="480"/>
        <w:rPr>
          <w:rFonts w:hAnsi="Calibri" w:eastAsia="Times New Roman"/>
          <w:color w:val="000000"/>
          <w:szCs w:val="22"/>
        </w:rPr>
      </w:pPr>
      <w:r>
        <w:rPr>
          <w:rFonts w:ascii="NLTSGJ+å®ä½" w:hAnsi="Calibri" w:eastAsia="Times New Roman"/>
          <w:color w:val="000000"/>
          <w:szCs w:val="22"/>
        </w:rPr>
        <w:t>3.3.2</w:t>
      </w:r>
      <w:r>
        <w:rPr>
          <w:rFonts w:ascii="NLTSGJ+å®ä½" w:hAnsi="Calibri" w:eastAsia="Times New Roman"/>
          <w:color w:val="000000"/>
          <w:spacing w:val="2"/>
          <w:sz w:val="18"/>
          <w:szCs w:val="22"/>
          <w:vertAlign w:val="superscript"/>
        </w:rPr>
        <w:t>3</w:t>
      </w:r>
      <w:r>
        <w:rPr>
          <w:rFonts w:ascii="AVGNIO+å®ä½" w:hAnsi="AVGNIO+å®ä½" w:eastAsia="Times New Roman" w:cs="AVGNIO+å®ä½"/>
          <w:color w:val="000000"/>
          <w:szCs w:val="22"/>
        </w:rPr>
        <w:t>投标报价有算术错误的，评标委员会按以下原则对投标报价进行修正，修正的</w:t>
      </w:r>
    </w:p>
    <w:p>
      <w:pPr>
        <w:spacing w:before="221" w:line="250" w:lineRule="exact"/>
        <w:rPr>
          <w:rFonts w:hAnsi="Calibri" w:eastAsia="Times New Roman"/>
          <w:color w:val="000000"/>
          <w:szCs w:val="22"/>
        </w:rPr>
      </w:pPr>
      <w:r>
        <w:rPr>
          <w:rFonts w:ascii="AVGNIO+å®ä½" w:hAnsi="AVGNIO+å®ä½" w:eastAsia="Times New Roman" w:cs="AVGNIO+å®ä½"/>
          <w:color w:val="000000"/>
          <w:szCs w:val="22"/>
        </w:rPr>
        <w:t>价格经投标人书面确认后具有约束力。投标人不接受修正价格的，评标委员会应否决其投</w:t>
      </w:r>
    </w:p>
    <w:p>
      <w:pPr>
        <w:spacing w:before="216" w:line="250" w:lineRule="exact"/>
        <w:rPr>
          <w:rFonts w:hAnsi="Calibri" w:eastAsia="Times New Roman"/>
          <w:color w:val="000000"/>
          <w:szCs w:val="22"/>
        </w:rPr>
      </w:pPr>
      <w:r>
        <w:rPr>
          <w:rFonts w:ascii="AVGNIO+å®ä½" w:hAnsi="AVGNIO+å®ä½" w:eastAsia="Times New Roman" w:cs="AVGNIO+å®ä½"/>
          <w:color w:val="000000"/>
          <w:szCs w:val="22"/>
        </w:rPr>
        <w:t>标。</w:t>
      </w:r>
    </w:p>
    <w:p>
      <w:pPr>
        <w:spacing w:before="216" w:line="250" w:lineRule="exact"/>
        <w:ind w:left="480"/>
        <w:rPr>
          <w:rFonts w:hAnsi="Calibri" w:eastAsia="Times New Roman"/>
          <w:color w:val="000000"/>
          <w:szCs w:val="22"/>
        </w:rPr>
      </w:pPr>
      <w:r>
        <w:rPr>
          <w:rFonts w:ascii="AVGNIO+å®ä½" w:hAnsi="AVGNIO+å®ä½" w:eastAsia="Times New Roman" w:cs="AVGNIO+å®ä½"/>
          <w:color w:val="000000"/>
          <w:szCs w:val="22"/>
        </w:rPr>
        <w:t>（</w:t>
      </w:r>
      <w:r>
        <w:rPr>
          <w:rFonts w:ascii="NLTSGJ+å®ä½" w:hAnsi="Calibri" w:eastAsia="Times New Roman"/>
          <w:color w:val="000000"/>
          <w:szCs w:val="22"/>
        </w:rPr>
        <w:t>1</w:t>
      </w:r>
      <w:r>
        <w:rPr>
          <w:rFonts w:ascii="AVGNIO+å®ä½" w:hAnsi="AVGNIO+å®ä½" w:eastAsia="Times New Roman" w:cs="AVGNIO+å®ä½"/>
          <w:color w:val="000000"/>
          <w:szCs w:val="22"/>
        </w:rPr>
        <w:t>）投标文件中的大写金额与小写金额不一致的，以大写金额为准；</w:t>
      </w:r>
    </w:p>
    <w:p>
      <w:pPr>
        <w:spacing w:before="216" w:line="250" w:lineRule="exact"/>
        <w:ind w:left="480"/>
        <w:rPr>
          <w:rFonts w:hAnsi="Calibri" w:eastAsia="Times New Roman"/>
          <w:color w:val="000000"/>
          <w:szCs w:val="22"/>
        </w:rPr>
      </w:pPr>
      <w:r>
        <w:rPr>
          <w:rFonts w:ascii="AVGNIO+å®ä½" w:hAnsi="AVGNIO+å®ä½" w:eastAsia="Times New Roman" w:cs="AVGNIO+å®ä½"/>
          <w:color w:val="000000"/>
          <w:szCs w:val="22"/>
        </w:rPr>
        <w:t>（</w:t>
      </w:r>
      <w:r>
        <w:rPr>
          <w:rFonts w:ascii="NLTSGJ+å®ä½" w:hAnsi="Calibri" w:eastAsia="Times New Roman"/>
          <w:color w:val="000000"/>
          <w:szCs w:val="22"/>
        </w:rPr>
        <w:t>2</w:t>
      </w:r>
      <w:r>
        <w:rPr>
          <w:rFonts w:ascii="AVGNIO+å®ä½" w:hAnsi="AVGNIO+å®ä½" w:eastAsia="Times New Roman" w:cs="AVGNIO+å®ä½"/>
          <w:color w:val="000000"/>
          <w:szCs w:val="22"/>
        </w:rPr>
        <w:t>）总价金额与依据单价计算出的结果不一致的，以单价金额为准修正总价，但单价</w:t>
      </w:r>
    </w:p>
    <w:p>
      <w:pPr>
        <w:spacing w:before="220" w:line="250" w:lineRule="exact"/>
        <w:rPr>
          <w:rFonts w:hAnsi="Calibri" w:eastAsia="Times New Roman"/>
          <w:color w:val="000000"/>
          <w:szCs w:val="22"/>
        </w:rPr>
      </w:pPr>
      <w:r>
        <w:rPr>
          <w:rFonts w:ascii="AVGNIO+å®ä½" w:hAnsi="AVGNIO+å®ä½" w:eastAsia="Times New Roman" w:cs="AVGNIO+å®ä½"/>
          <w:color w:val="000000"/>
          <w:szCs w:val="22"/>
        </w:rPr>
        <w:t>金额小数点有明显错误的除外；</w:t>
      </w:r>
    </w:p>
    <w:p>
      <w:pPr>
        <w:spacing w:before="216" w:line="250" w:lineRule="exact"/>
        <w:ind w:left="480"/>
        <w:rPr>
          <w:rFonts w:hAnsi="Calibri" w:eastAsia="Times New Roman"/>
          <w:color w:val="000000"/>
          <w:szCs w:val="22"/>
        </w:rPr>
      </w:pPr>
      <w:r>
        <w:rPr>
          <w:rFonts w:ascii="AVGNIO+å®ä½" w:hAnsi="AVGNIO+å®ä½" w:eastAsia="Times New Roman" w:cs="AVGNIO+å®ä½"/>
          <w:color w:val="000000"/>
          <w:szCs w:val="22"/>
        </w:rPr>
        <w:t>（</w:t>
      </w:r>
      <w:r>
        <w:rPr>
          <w:rFonts w:ascii="NLTSGJ+å®ä½" w:hAnsi="Calibri" w:eastAsia="Times New Roman"/>
          <w:color w:val="000000"/>
          <w:szCs w:val="22"/>
        </w:rPr>
        <w:t>3</w:t>
      </w:r>
      <w:r>
        <w:rPr>
          <w:rFonts w:ascii="AVGNIO+å®ä½" w:hAnsi="AVGNIO+å®ä½" w:eastAsia="Times New Roman" w:cs="AVGNIO+å®ä½"/>
          <w:color w:val="000000"/>
          <w:szCs w:val="22"/>
        </w:rPr>
        <w:t>）当单价与数量相乘不等于合价时，以单价计算为准，如果单价有明显的小数点位</w:t>
      </w:r>
    </w:p>
    <w:p>
      <w:pPr>
        <w:spacing w:before="216" w:line="250" w:lineRule="exact"/>
        <w:rPr>
          <w:rFonts w:hAnsi="Calibri" w:eastAsia="Times New Roman"/>
          <w:color w:val="000000"/>
          <w:szCs w:val="22"/>
        </w:rPr>
      </w:pPr>
      <w:r>
        <w:rPr>
          <w:rFonts w:ascii="AVGNIO+å®ä½" w:hAnsi="AVGNIO+å®ä½" w:eastAsia="Times New Roman" w:cs="AVGNIO+å®ä½"/>
          <w:color w:val="000000"/>
          <w:szCs w:val="22"/>
        </w:rPr>
        <w:t>置差错，应以标出的合价为准，同时对单价予以修正；</w:t>
      </w:r>
    </w:p>
    <w:p>
      <w:pPr>
        <w:spacing w:before="216" w:line="250" w:lineRule="exact"/>
        <w:ind w:left="480"/>
        <w:rPr>
          <w:rFonts w:hAnsi="Calibri" w:eastAsia="Times New Roman"/>
          <w:color w:val="000000"/>
          <w:szCs w:val="22"/>
        </w:rPr>
      </w:pPr>
      <w:r>
        <w:rPr>
          <w:rFonts w:ascii="AVGNIO+å®ä½" w:hAnsi="AVGNIO+å®ä½" w:eastAsia="Times New Roman" w:cs="AVGNIO+å®ä½"/>
          <w:color w:val="000000"/>
          <w:szCs w:val="22"/>
        </w:rPr>
        <w:t>（</w:t>
      </w:r>
      <w:r>
        <w:rPr>
          <w:rFonts w:ascii="NLTSGJ+å®ä½" w:hAnsi="Calibri" w:eastAsia="Times New Roman"/>
          <w:color w:val="000000"/>
          <w:szCs w:val="22"/>
        </w:rPr>
        <w:t>4</w:t>
      </w:r>
      <w:r>
        <w:rPr>
          <w:rFonts w:ascii="AVGNIO+å®ä½" w:hAnsi="AVGNIO+å®ä½" w:eastAsia="Times New Roman" w:cs="AVGNIO+å®ä½"/>
          <w:color w:val="000000"/>
          <w:szCs w:val="22"/>
        </w:rPr>
        <w:t>）当各子目的合价累计不等于总价时，应以各子目合价累计数为准，修正总价。</w:t>
      </w:r>
    </w:p>
    <w:p>
      <w:pPr>
        <w:spacing w:before="220" w:line="250" w:lineRule="exact"/>
        <w:ind w:left="480"/>
        <w:rPr>
          <w:rFonts w:hAnsi="Calibri" w:eastAsia="Times New Roman"/>
          <w:color w:val="000000"/>
          <w:szCs w:val="22"/>
        </w:rPr>
      </w:pPr>
      <w:r>
        <w:rPr>
          <w:rFonts w:ascii="NLTSGJ+å®ä½" w:hAnsi="Calibri" w:eastAsia="Times New Roman"/>
          <w:color w:val="000000"/>
          <w:szCs w:val="22"/>
        </w:rPr>
        <w:t>3.3.3</w:t>
      </w:r>
      <w:r>
        <w:rPr>
          <w:rFonts w:ascii="AVGNIO+å®ä½" w:hAnsi="AVGNIO+å®ä½" w:eastAsia="Times New Roman" w:cs="AVGNIO+å®ä½"/>
          <w:color w:val="000000"/>
          <w:szCs w:val="22"/>
        </w:rPr>
        <w:t>工程量清单中的投标报价有其他错误的，评标委员会按以下原则对投标报价进行</w:t>
      </w:r>
    </w:p>
    <w:p>
      <w:pPr>
        <w:spacing w:before="216" w:line="250" w:lineRule="exact"/>
        <w:rPr>
          <w:rFonts w:hAnsi="Calibri" w:eastAsia="Times New Roman"/>
          <w:color w:val="000000"/>
          <w:szCs w:val="22"/>
        </w:rPr>
      </w:pPr>
      <w:r>
        <w:rPr>
          <w:rFonts w:ascii="AVGNIO+å®ä½" w:hAnsi="AVGNIO+å®ä½" w:eastAsia="Times New Roman" w:cs="AVGNIO+å®ä½"/>
          <w:color w:val="000000"/>
          <w:szCs w:val="22"/>
        </w:rPr>
        <w:t>修正，修正的价格经投标人书面确认后具有约束力。投标人不接受修正价格的，评标委员</w:t>
      </w:r>
    </w:p>
    <w:p>
      <w:pPr>
        <w:spacing w:before="216" w:line="250" w:lineRule="exact"/>
        <w:rPr>
          <w:rFonts w:hAnsi="Calibri" w:eastAsia="Times New Roman"/>
          <w:color w:val="000000"/>
          <w:szCs w:val="22"/>
        </w:rPr>
      </w:pPr>
      <w:r>
        <w:rPr>
          <w:rFonts w:ascii="AVGNIO+å®ä½" w:hAnsi="AVGNIO+å®ä½" w:eastAsia="Times New Roman" w:cs="AVGNIO+å®ä½"/>
          <w:color w:val="000000"/>
          <w:szCs w:val="22"/>
        </w:rPr>
        <w:t>会应否决其投标。</w:t>
      </w:r>
    </w:p>
    <w:p>
      <w:pPr>
        <w:spacing w:before="216" w:line="250" w:lineRule="exact"/>
        <w:ind w:left="480"/>
        <w:rPr>
          <w:rFonts w:hAnsi="Calibri" w:eastAsia="Times New Roman"/>
          <w:color w:val="000000"/>
          <w:szCs w:val="22"/>
        </w:rPr>
      </w:pPr>
      <w:r>
        <w:rPr>
          <w:rFonts w:ascii="AVGNIO+å®ä½" w:hAnsi="AVGNIO+å®ä½" w:eastAsia="Times New Roman" w:cs="AVGNIO+å®ä½"/>
          <w:color w:val="000000"/>
          <w:szCs w:val="22"/>
        </w:rPr>
        <w:t>（</w:t>
      </w:r>
      <w:r>
        <w:rPr>
          <w:rFonts w:ascii="NLTSGJ+å®ä½" w:hAnsi="Calibri" w:eastAsia="Times New Roman"/>
          <w:color w:val="000000"/>
          <w:szCs w:val="22"/>
        </w:rPr>
        <w:t>1</w:t>
      </w:r>
      <w:r>
        <w:rPr>
          <w:rFonts w:ascii="AVGNIO+å®ä½" w:hAnsi="AVGNIO+å®ä½" w:eastAsia="Times New Roman" w:cs="AVGNIO+å®ä½"/>
          <w:color w:val="000000"/>
          <w:szCs w:val="22"/>
        </w:rPr>
        <w:t>）在招标人给定的工程量清单中漏报了某个工程子目的单价、合价或总额价，或所</w:t>
      </w:r>
    </w:p>
    <w:p>
      <w:pPr>
        <w:spacing w:before="220" w:line="250" w:lineRule="exact"/>
        <w:rPr>
          <w:rFonts w:hAnsi="Calibri" w:eastAsia="Times New Roman"/>
          <w:color w:val="000000"/>
          <w:szCs w:val="22"/>
        </w:rPr>
      </w:pPr>
      <w:r>
        <w:rPr>
          <w:rFonts w:ascii="AVGNIO+å®ä½" w:hAnsi="AVGNIO+å®ä½" w:eastAsia="Times New Roman" w:cs="AVGNIO+å®ä½"/>
          <w:color w:val="000000"/>
          <w:szCs w:val="22"/>
        </w:rPr>
        <w:t>报单价、合价或总额价减少了报价范围，则漏报的工程子目单价、合价和总额价或单价、</w:t>
      </w:r>
    </w:p>
    <w:p>
      <w:pPr>
        <w:spacing w:before="216" w:line="250" w:lineRule="exact"/>
        <w:rPr>
          <w:rFonts w:hAnsi="Calibri" w:eastAsia="Times New Roman"/>
          <w:color w:val="000000"/>
          <w:szCs w:val="22"/>
        </w:rPr>
      </w:pPr>
      <w:r>
        <w:rPr>
          <w:rFonts w:ascii="AVGNIO+å®ä½" w:hAnsi="AVGNIO+å®ä½" w:eastAsia="Times New Roman" w:cs="AVGNIO+å®ä½"/>
          <w:color w:val="000000"/>
          <w:szCs w:val="22"/>
        </w:rPr>
        <w:t>合价和总额价中减少的报价内容视为已含入其他工程子目的单价、合价和总额价之中。</w:t>
      </w:r>
    </w:p>
    <w:p>
      <w:pPr>
        <w:spacing w:before="216" w:line="250" w:lineRule="exact"/>
        <w:ind w:left="480"/>
        <w:rPr>
          <w:rFonts w:hAnsi="Calibri" w:eastAsia="Times New Roman"/>
          <w:color w:val="000000"/>
          <w:szCs w:val="22"/>
        </w:rPr>
      </w:pPr>
      <w:r>
        <w:rPr>
          <w:rFonts w:ascii="AVGNIO+å®ä½" w:hAnsi="AVGNIO+å®ä½" w:eastAsia="Times New Roman" w:cs="AVGNIO+å®ä½"/>
          <w:color w:val="000000"/>
          <w:szCs w:val="22"/>
        </w:rPr>
        <w:t>（</w:t>
      </w:r>
      <w:r>
        <w:rPr>
          <w:rFonts w:ascii="NLTSGJ+å®ä½" w:hAnsi="Calibri" w:eastAsia="Times New Roman"/>
          <w:color w:val="000000"/>
          <w:szCs w:val="22"/>
        </w:rPr>
        <w:t>2</w:t>
      </w:r>
      <w:r>
        <w:rPr>
          <w:rFonts w:ascii="AVGNIO+å®ä½" w:hAnsi="AVGNIO+å®ä½" w:eastAsia="Times New Roman" w:cs="AVGNIO+å®ä½"/>
          <w:color w:val="000000"/>
          <w:szCs w:val="22"/>
        </w:rPr>
        <w:t>）在招标人给定的工程量清单中多报了某个工程子目的单价、合价或总额价，或所</w:t>
      </w:r>
    </w:p>
    <w:p>
      <w:pPr>
        <w:spacing w:before="220" w:line="250" w:lineRule="exact"/>
        <w:rPr>
          <w:rFonts w:hAnsi="Calibri" w:eastAsia="Times New Roman"/>
          <w:color w:val="000000"/>
          <w:szCs w:val="22"/>
        </w:rPr>
      </w:pPr>
      <w:r>
        <w:rPr>
          <w:rFonts w:ascii="AVGNIO+å®ä½" w:hAnsi="AVGNIO+å®ä½" w:eastAsia="Times New Roman" w:cs="AVGNIO+å®ä½"/>
          <w:color w:val="000000"/>
          <w:szCs w:val="22"/>
        </w:rPr>
        <w:t>报单价、合价或总额价增加了报价范围，则从投标报价中扣除多报的工程子目报价或工程</w:t>
      </w:r>
    </w:p>
    <w:p>
      <w:pPr>
        <w:spacing w:before="216" w:line="250" w:lineRule="exact"/>
        <w:rPr>
          <w:rFonts w:hAnsi="Calibri" w:eastAsia="Times New Roman"/>
          <w:color w:val="000000"/>
          <w:szCs w:val="22"/>
        </w:rPr>
      </w:pPr>
      <w:r>
        <w:rPr>
          <w:rFonts w:ascii="AVGNIO+å®ä½" w:hAnsi="AVGNIO+å®ä½" w:eastAsia="Times New Roman" w:cs="AVGNIO+å®ä½"/>
          <w:color w:val="000000"/>
          <w:szCs w:val="22"/>
        </w:rPr>
        <w:t>子目报价中增加了报价范围的部分报价。</w:t>
      </w:r>
    </w:p>
    <w:p>
      <w:pPr>
        <w:spacing w:before="216" w:line="250" w:lineRule="exact"/>
        <w:ind w:left="480"/>
        <w:rPr>
          <w:rFonts w:hAnsi="Calibri" w:eastAsia="Times New Roman"/>
          <w:color w:val="000000"/>
          <w:szCs w:val="22"/>
        </w:rPr>
      </w:pPr>
      <w:r>
        <w:rPr>
          <w:rFonts w:ascii="AVGNIO+å®ä½" w:hAnsi="AVGNIO+å®ä½" w:eastAsia="Times New Roman" w:cs="AVGNIO+å®ä½"/>
          <w:color w:val="000000"/>
          <w:szCs w:val="22"/>
        </w:rPr>
        <w:t>（</w:t>
      </w:r>
      <w:r>
        <w:rPr>
          <w:rFonts w:ascii="NLTSGJ+å®ä½" w:hAnsi="Calibri" w:eastAsia="Times New Roman"/>
          <w:color w:val="000000"/>
          <w:szCs w:val="22"/>
        </w:rPr>
        <w:t>3</w:t>
      </w:r>
      <w:r>
        <w:rPr>
          <w:rFonts w:ascii="AVGNIO+å®ä½" w:hAnsi="AVGNIO+å®ä½" w:eastAsia="Times New Roman" w:cs="AVGNIO+å®ä½"/>
          <w:color w:val="000000"/>
          <w:szCs w:val="22"/>
        </w:rPr>
        <w:t>）当单价与数量的乘积与合价（金额）虽然一致，但投标人修改了该子目的工程数</w:t>
      </w:r>
    </w:p>
    <w:p>
      <w:pPr>
        <w:spacing w:before="216" w:line="250" w:lineRule="exact"/>
        <w:rPr>
          <w:rFonts w:hAnsi="Calibri" w:eastAsia="Times New Roman"/>
          <w:color w:val="000000"/>
          <w:szCs w:val="22"/>
        </w:rPr>
      </w:pPr>
      <w:r>
        <w:rPr>
          <w:rFonts w:ascii="AVGNIO+å®ä½" w:hAnsi="AVGNIO+å®ä½" w:eastAsia="Times New Roman" w:cs="AVGNIO+å®ä½"/>
          <w:color w:val="000000"/>
          <w:szCs w:val="22"/>
        </w:rPr>
        <w:t>量，则其合价按招标人给定的工程数量乘以投标人所报单价予以修正。</w:t>
      </w:r>
    </w:p>
    <w:p>
      <w:pPr>
        <w:spacing w:before="335" w:line="235" w:lineRule="exact"/>
        <w:ind w:right="1100"/>
        <w:rPr>
          <w:rFonts w:hAnsi="Calibri" w:eastAsia="Times New Roman"/>
          <w:color w:val="000000"/>
          <w:sz w:val="18"/>
          <w:szCs w:val="22"/>
        </w:rPr>
      </w:pPr>
      <w:r>
        <w:rPr>
          <w:rFonts w:hAnsi="Calibri" w:eastAsia="Times New Roman"/>
          <w:color w:val="000000"/>
          <w:sz w:val="18"/>
          <w:szCs w:val="22"/>
          <w:vertAlign w:val="superscript"/>
        </w:rPr>
        <w:t>3</w:t>
      </w:r>
      <w:r>
        <w:rPr>
          <w:rFonts w:hAnsi="Calibri" w:eastAsia="Times New Roman"/>
          <w:color w:val="000000"/>
          <w:spacing w:val="1"/>
          <w:sz w:val="18"/>
          <w:szCs w:val="22"/>
          <w:vertAlign w:val="superscript"/>
        </w:rPr>
        <w:t xml:space="preserve"> </w:t>
      </w:r>
      <w:r>
        <w:rPr>
          <w:rFonts w:ascii="AVGNIO+å®ä½" w:hAnsi="AVGNIO+å®ä½" w:eastAsia="Times New Roman" w:cs="AVGNIO+å®ä½"/>
          <w:color w:val="000000"/>
          <w:sz w:val="18"/>
          <w:szCs w:val="22"/>
        </w:rPr>
        <w:t xml:space="preserve">如本项目招标由投标人按照招标人提供的书面工程量清单填写本合同各工程子目的单价、合价和总额价，则评标委员会 </w:t>
      </w:r>
      <w:r>
        <w:rPr>
          <w:rFonts w:ascii="AVGNIO+å®ä½" w:hAnsi="AVGNIO+å®ä½" w:eastAsia="Times New Roman" w:cs="AVGNIO+å®ä½"/>
          <w:color w:val="000000"/>
          <w:spacing w:val="1"/>
          <w:sz w:val="18"/>
          <w:szCs w:val="22"/>
        </w:rPr>
        <w:t>按照本章第</w:t>
      </w:r>
      <w:r>
        <w:rPr>
          <w:rFonts w:hAnsi="Calibri" w:eastAsia="Times New Roman"/>
          <w:color w:val="000000"/>
          <w:sz w:val="18"/>
          <w:szCs w:val="22"/>
        </w:rPr>
        <w:t xml:space="preserve"> </w:t>
      </w:r>
      <w:r>
        <w:rPr>
          <w:rFonts w:ascii="Calibri" w:hAnsi="Calibri" w:eastAsia="Times New Roman"/>
          <w:color w:val="000000"/>
          <w:sz w:val="18"/>
          <w:szCs w:val="22"/>
        </w:rPr>
        <w:t>3.3.2</w:t>
      </w:r>
      <w:r>
        <w:rPr>
          <w:rFonts w:hAnsi="Calibri" w:eastAsia="Times New Roman"/>
          <w:color w:val="000000"/>
          <w:spacing w:val="-1"/>
          <w:sz w:val="18"/>
          <w:szCs w:val="22"/>
        </w:rPr>
        <w:t xml:space="preserve"> </w:t>
      </w:r>
      <w:r>
        <w:rPr>
          <w:rFonts w:ascii="AVGNIO+å®ä½" w:hAnsi="AVGNIO+å®ä½" w:eastAsia="Times New Roman" w:cs="AVGNIO+å®ä½"/>
          <w:color w:val="000000"/>
          <w:sz w:val="18"/>
          <w:szCs w:val="22"/>
        </w:rPr>
        <w:t>项和第</w:t>
      </w:r>
      <w:r>
        <w:rPr>
          <w:rFonts w:hAnsi="Calibri" w:eastAsia="Times New Roman"/>
          <w:color w:val="000000"/>
          <w:spacing w:val="1"/>
          <w:sz w:val="18"/>
          <w:szCs w:val="22"/>
        </w:rPr>
        <w:t xml:space="preserve"> </w:t>
      </w:r>
      <w:r>
        <w:rPr>
          <w:rFonts w:ascii="Calibri" w:hAnsi="Calibri" w:eastAsia="Times New Roman"/>
          <w:color w:val="000000"/>
          <w:sz w:val="18"/>
          <w:szCs w:val="22"/>
        </w:rPr>
        <w:t>3.3.3</w:t>
      </w:r>
      <w:r>
        <w:rPr>
          <w:rFonts w:hAnsi="Calibri" w:eastAsia="Times New Roman"/>
          <w:color w:val="000000"/>
          <w:spacing w:val="3"/>
          <w:sz w:val="18"/>
          <w:szCs w:val="22"/>
        </w:rPr>
        <w:t xml:space="preserve"> </w:t>
      </w:r>
      <w:r>
        <w:rPr>
          <w:rFonts w:ascii="AVGNIO+å®ä½" w:hAnsi="AVGNIO+å®ä½" w:eastAsia="Times New Roman" w:cs="AVGNIO+å®ä½"/>
          <w:color w:val="000000"/>
          <w:sz w:val="18"/>
          <w:szCs w:val="22"/>
        </w:rPr>
        <w:t>项的规定对投标人的投标报价进行修正。如本项目招标由投标人按照招标人提供的工程量 固化清单电子文件填写工程量清单，无须按照本章第</w:t>
      </w:r>
      <w:r>
        <w:rPr>
          <w:rFonts w:hAnsi="Calibri" w:eastAsia="Times New Roman"/>
          <w:color w:val="000000"/>
          <w:spacing w:val="2"/>
          <w:sz w:val="18"/>
          <w:szCs w:val="22"/>
        </w:rPr>
        <w:t xml:space="preserve"> </w:t>
      </w:r>
      <w:r>
        <w:rPr>
          <w:rFonts w:ascii="Calibri" w:hAnsi="Calibri" w:eastAsia="Times New Roman"/>
          <w:color w:val="000000"/>
          <w:spacing w:val="-1"/>
          <w:sz w:val="18"/>
          <w:szCs w:val="22"/>
        </w:rPr>
        <w:t>3.3.2</w:t>
      </w:r>
      <w:r>
        <w:rPr>
          <w:rFonts w:hAnsi="Calibri" w:eastAsia="Times New Roman"/>
          <w:color w:val="000000"/>
          <w:spacing w:val="4"/>
          <w:sz w:val="18"/>
          <w:szCs w:val="22"/>
        </w:rPr>
        <w:t xml:space="preserve"> </w:t>
      </w:r>
      <w:r>
        <w:rPr>
          <w:rFonts w:ascii="AVGNIO+å®ä½" w:hAnsi="AVGNIO+å®ä½" w:eastAsia="Times New Roman" w:cs="AVGNIO+å®ä½"/>
          <w:color w:val="000000"/>
          <w:sz w:val="18"/>
          <w:szCs w:val="22"/>
        </w:rPr>
        <w:t>项和第</w:t>
      </w:r>
      <w:r>
        <w:rPr>
          <w:rFonts w:hAnsi="Calibri" w:eastAsia="Times New Roman"/>
          <w:color w:val="000000"/>
          <w:spacing w:val="1"/>
          <w:sz w:val="18"/>
          <w:szCs w:val="22"/>
        </w:rPr>
        <w:t xml:space="preserve"> </w:t>
      </w:r>
      <w:r>
        <w:rPr>
          <w:rFonts w:ascii="Calibri" w:hAnsi="Calibri" w:eastAsia="Times New Roman"/>
          <w:color w:val="000000"/>
          <w:sz w:val="18"/>
          <w:szCs w:val="22"/>
        </w:rPr>
        <w:t>3.3.3</w:t>
      </w:r>
      <w:r>
        <w:rPr>
          <w:rFonts w:hAnsi="Calibri" w:eastAsia="Times New Roman"/>
          <w:color w:val="000000"/>
          <w:spacing w:val="4"/>
          <w:sz w:val="18"/>
          <w:szCs w:val="22"/>
        </w:rPr>
        <w:t xml:space="preserve"> </w:t>
      </w:r>
      <w:r>
        <w:rPr>
          <w:rFonts w:ascii="AVGNIO+å®ä½" w:hAnsi="AVGNIO+å®ä½" w:eastAsia="Times New Roman" w:cs="AVGNIO+å®ä½"/>
          <w:color w:val="000000"/>
          <w:sz w:val="18"/>
          <w:szCs w:val="22"/>
        </w:rPr>
        <w:t>项的规定对投标报价进行修正，第</w:t>
      </w:r>
      <w:r>
        <w:rPr>
          <w:rFonts w:hAnsi="Calibri" w:eastAsia="Times New Roman"/>
          <w:color w:val="000000"/>
          <w:spacing w:val="1"/>
          <w:sz w:val="18"/>
          <w:szCs w:val="22"/>
        </w:rPr>
        <w:t xml:space="preserve"> </w:t>
      </w:r>
      <w:r>
        <w:rPr>
          <w:rFonts w:ascii="Calibri" w:hAnsi="Calibri" w:eastAsia="Times New Roman"/>
          <w:color w:val="000000"/>
          <w:sz w:val="18"/>
          <w:szCs w:val="22"/>
        </w:rPr>
        <w:t>3.3.2</w:t>
      </w:r>
      <w:r>
        <w:rPr>
          <w:rFonts w:hAnsi="Calibri" w:eastAsia="Times New Roman"/>
          <w:color w:val="000000"/>
          <w:spacing w:val="-1"/>
          <w:sz w:val="18"/>
          <w:szCs w:val="22"/>
        </w:rPr>
        <w:t xml:space="preserve"> </w:t>
      </w:r>
      <w:r>
        <w:rPr>
          <w:rFonts w:ascii="AVGNIO+å®ä½" w:hAnsi="AVGNIO+å®ä½" w:eastAsia="Times New Roman" w:cs="AVGNIO+å®ä½"/>
          <w:color w:val="000000"/>
          <w:sz w:val="18"/>
          <w:szCs w:val="22"/>
        </w:rPr>
        <w:t>项至第</w:t>
      </w:r>
    </w:p>
    <w:p>
      <w:pPr>
        <w:spacing w:before="3" w:line="233" w:lineRule="exact"/>
        <w:rPr>
          <w:rFonts w:hAnsi="Calibri" w:eastAsia="Times New Roman"/>
          <w:color w:val="000000"/>
          <w:sz w:val="18"/>
          <w:szCs w:val="22"/>
        </w:rPr>
      </w:pPr>
      <w:r>
        <w:rPr>
          <w:rFonts w:ascii="Calibri" w:hAnsi="Calibri" w:eastAsia="Times New Roman"/>
          <w:color w:val="000000"/>
          <w:spacing w:val="1"/>
          <w:sz w:val="18"/>
          <w:szCs w:val="22"/>
        </w:rPr>
        <w:t>3.3.5</w:t>
      </w:r>
      <w:r>
        <w:rPr>
          <w:rFonts w:hAnsi="Calibri" w:eastAsia="Times New Roman"/>
          <w:color w:val="000000"/>
          <w:spacing w:val="-3"/>
          <w:sz w:val="18"/>
          <w:szCs w:val="22"/>
        </w:rPr>
        <w:t xml:space="preserve"> </w:t>
      </w:r>
      <w:r>
        <w:rPr>
          <w:rFonts w:ascii="AVGNIO+å®ä½" w:hAnsi="AVGNIO+å®ä½" w:eastAsia="Times New Roman" w:cs="AVGNIO+å®ä½"/>
          <w:color w:val="000000"/>
          <w:sz w:val="18"/>
          <w:szCs w:val="22"/>
        </w:rPr>
        <w:t>项内容不适用。</w:t>
      </w:r>
    </w:p>
    <w:p>
      <w:pPr>
        <w:spacing w:before="24" w:line="221" w:lineRule="exact"/>
        <w:ind w:left="4658"/>
        <w:rPr>
          <w:rFonts w:ascii="NLTSGJ+å®ä½" w:hAnsi="Calibri" w:eastAsia="Times New Roman"/>
          <w:color w:val="000000"/>
          <w:sz w:val="21"/>
          <w:szCs w:val="22"/>
        </w:rPr>
        <w:sectPr>
          <w:pgSz w:w="11900" w:h="16840"/>
          <w:pgMar w:top="1442" w:right="100" w:bottom="0" w:left="1191" w:header="720" w:footer="720" w:gutter="0"/>
          <w:pgNumType w:start="1"/>
          <w:cols w:space="720" w:num="1"/>
          <w:docGrid w:linePitch="1" w:charSpace="0"/>
        </w:sectPr>
      </w:pPr>
    </w:p>
    <w:p>
      <w:pPr>
        <w:spacing w:line="250" w:lineRule="exact"/>
        <w:ind w:left="480"/>
        <w:rPr>
          <w:rFonts w:hAnsi="Calibri" w:eastAsia="Times New Roman"/>
          <w:color w:val="000000"/>
          <w:szCs w:val="22"/>
        </w:rPr>
      </w:pPr>
      <w:r>
        <w:rPr>
          <w:rFonts w:ascii="IJTADT+å®ä½" w:hAnsi="Calibri" w:eastAsia="Times New Roman"/>
          <w:color w:val="000000"/>
          <w:szCs w:val="22"/>
        </w:rPr>
        <w:t>3.3.4</w:t>
      </w:r>
      <w:r>
        <w:rPr>
          <w:rFonts w:ascii="VQBRAD+å®ä½" w:hAnsi="VQBRAD+å®ä½" w:eastAsia="Times New Roman" w:cs="VQBRAD+å®ä½"/>
          <w:color w:val="000000"/>
          <w:szCs w:val="22"/>
        </w:rPr>
        <w:t>修正后的最终投标报价若超过最高投标限价（如有），评标委员会应否决其投</w:t>
      </w:r>
    </w:p>
    <w:p>
      <w:pPr>
        <w:spacing w:before="220" w:line="250" w:lineRule="exact"/>
        <w:rPr>
          <w:rFonts w:hAnsi="Calibri" w:eastAsia="Times New Roman"/>
          <w:color w:val="000000"/>
          <w:szCs w:val="22"/>
        </w:rPr>
      </w:pPr>
      <w:r>
        <w:rPr>
          <w:rFonts w:ascii="VQBRAD+å®ä½" w:hAnsi="VQBRAD+å®ä½" w:eastAsia="Times New Roman" w:cs="VQBRAD+å®ä½"/>
          <w:color w:val="000000"/>
          <w:szCs w:val="22"/>
        </w:rPr>
        <w:t>标。</w:t>
      </w:r>
    </w:p>
    <w:p>
      <w:pPr>
        <w:spacing w:before="216" w:line="250" w:lineRule="exact"/>
        <w:ind w:left="480"/>
        <w:rPr>
          <w:rFonts w:hAnsi="Calibri" w:eastAsia="Times New Roman"/>
          <w:color w:val="000000"/>
          <w:szCs w:val="22"/>
        </w:rPr>
      </w:pPr>
      <w:r>
        <w:rPr>
          <w:rFonts w:ascii="IJTADT+å®ä½" w:hAnsi="Calibri" w:eastAsia="Times New Roman"/>
          <w:color w:val="000000"/>
          <w:szCs w:val="22"/>
        </w:rPr>
        <w:t>3.3.5</w:t>
      </w:r>
      <w:r>
        <w:rPr>
          <w:rFonts w:ascii="VQBRAD+å®ä½" w:hAnsi="VQBRAD+å®ä½" w:eastAsia="Times New Roman" w:cs="VQBRAD+å®ä½"/>
          <w:color w:val="000000"/>
          <w:szCs w:val="22"/>
        </w:rPr>
        <w:t>修正后的最终投标报价仅作为签订合同的一个依据，不参与评标价得分的计算。</w:t>
      </w:r>
    </w:p>
    <w:p>
      <w:pPr>
        <w:spacing w:before="336" w:line="250" w:lineRule="exact"/>
        <w:ind w:left="360"/>
        <w:rPr>
          <w:rFonts w:hAnsi="Calibri" w:eastAsia="Times New Roman"/>
          <w:color w:val="000000"/>
          <w:szCs w:val="22"/>
        </w:rPr>
      </w:pPr>
      <w:r>
        <w:rPr>
          <w:rFonts w:ascii="IJTADT+å®ä½" w:hAnsi="Calibri" w:eastAsia="Times New Roman"/>
          <w:color w:val="000000"/>
          <w:spacing w:val="2"/>
          <w:szCs w:val="22"/>
        </w:rPr>
        <w:t>3.4</w:t>
      </w:r>
      <w:r>
        <w:rPr>
          <w:rFonts w:ascii="VQBRAD+å®ä½" w:hAnsi="VQBRAD+å®ä½" w:eastAsia="Times New Roman" w:cs="VQBRAD+å®ä½"/>
          <w:color w:val="000000"/>
          <w:spacing w:val="1"/>
          <w:szCs w:val="22"/>
        </w:rPr>
        <w:t>第二个信封详细评审</w:t>
      </w:r>
    </w:p>
    <w:p>
      <w:pPr>
        <w:spacing w:before="336" w:line="250" w:lineRule="exact"/>
        <w:ind w:left="480"/>
        <w:rPr>
          <w:rFonts w:hAnsi="Calibri" w:eastAsia="Times New Roman"/>
          <w:color w:val="000000"/>
          <w:szCs w:val="22"/>
        </w:rPr>
      </w:pPr>
      <w:r>
        <w:rPr>
          <w:rFonts w:ascii="IJTADT+å®ä½" w:hAnsi="Calibri" w:eastAsia="Times New Roman"/>
          <w:color w:val="000000"/>
          <w:szCs w:val="22"/>
        </w:rPr>
        <w:t>3.4.1</w:t>
      </w:r>
      <w:r>
        <w:rPr>
          <w:rFonts w:ascii="VQBRAD+å®ä½" w:hAnsi="VQBRAD+å®ä½" w:eastAsia="Times New Roman" w:cs="VQBRAD+å®ä½"/>
          <w:color w:val="000000"/>
          <w:szCs w:val="22"/>
        </w:rPr>
        <w:t>评标委员会按本章第</w:t>
      </w:r>
      <w:r>
        <w:rPr>
          <w:rFonts w:ascii="IJTADT+å®ä½" w:hAnsi="Calibri" w:eastAsia="Times New Roman"/>
          <w:color w:val="000000"/>
          <w:szCs w:val="22"/>
        </w:rPr>
        <w:t>2.2</w:t>
      </w:r>
      <w:r>
        <w:rPr>
          <w:rFonts w:ascii="VQBRAD+å®ä½" w:hAnsi="VQBRAD+å®ä½" w:eastAsia="Times New Roman" w:cs="VQBRAD+å®ä½"/>
          <w:color w:val="000000"/>
          <w:szCs w:val="22"/>
        </w:rPr>
        <w:t>款规定的量化因素和分值进行打分，并计算出综合评估</w:t>
      </w:r>
    </w:p>
    <w:p>
      <w:pPr>
        <w:spacing w:before="221" w:line="250" w:lineRule="exact"/>
        <w:rPr>
          <w:rFonts w:hAnsi="Calibri" w:eastAsia="Times New Roman"/>
          <w:color w:val="000000"/>
          <w:szCs w:val="22"/>
        </w:rPr>
      </w:pPr>
      <w:r>
        <w:rPr>
          <w:rFonts w:ascii="VQBRAD+å®ä½" w:hAnsi="VQBRAD+å®ä½" w:eastAsia="Times New Roman" w:cs="VQBRAD+å®ä½"/>
          <w:color w:val="000000"/>
          <w:szCs w:val="22"/>
        </w:rPr>
        <w:t>得分（即评标价得分）。</w:t>
      </w:r>
    </w:p>
    <w:p>
      <w:pPr>
        <w:spacing w:before="216" w:line="250" w:lineRule="exact"/>
        <w:ind w:left="480"/>
        <w:rPr>
          <w:rFonts w:hAnsi="Calibri" w:eastAsia="Times New Roman"/>
          <w:color w:val="000000"/>
          <w:szCs w:val="22"/>
        </w:rPr>
      </w:pPr>
      <w:r>
        <w:rPr>
          <w:rFonts w:ascii="IJTADT+å®ä½" w:hAnsi="Calibri" w:eastAsia="Times New Roman"/>
          <w:color w:val="000000"/>
          <w:szCs w:val="22"/>
        </w:rPr>
        <w:t>3.4.2</w:t>
      </w:r>
      <w:r>
        <w:rPr>
          <w:rFonts w:ascii="VQBRAD+å®ä½" w:hAnsi="VQBRAD+å®ä½" w:eastAsia="Times New Roman" w:cs="VQBRAD+å®ä½"/>
          <w:color w:val="000000"/>
          <w:szCs w:val="22"/>
        </w:rPr>
        <w:t>投标人得分分值计算保留小数点后七位，小数点后第八位“四舍五入”。</w:t>
      </w:r>
    </w:p>
    <w:p>
      <w:pPr>
        <w:spacing w:before="216" w:line="250" w:lineRule="exact"/>
        <w:ind w:left="480"/>
        <w:rPr>
          <w:rFonts w:hAnsi="Calibri" w:eastAsia="Times New Roman"/>
          <w:color w:val="000000"/>
          <w:szCs w:val="22"/>
        </w:rPr>
      </w:pPr>
      <w:r>
        <w:rPr>
          <w:rFonts w:ascii="IJTADT+å®ä½" w:hAnsi="Calibri" w:eastAsia="Times New Roman"/>
          <w:color w:val="000000"/>
          <w:szCs w:val="22"/>
        </w:rPr>
        <w:t>3.4.3</w:t>
      </w:r>
      <w:r>
        <w:rPr>
          <w:rFonts w:ascii="VQBRAD+å®ä½" w:hAnsi="VQBRAD+å®ä½" w:eastAsia="Times New Roman" w:cs="VQBRAD+å®ä½"/>
          <w:color w:val="000000"/>
          <w:szCs w:val="22"/>
        </w:rPr>
        <w:t>评标委员会发现投标人的报价明显低于其他投标报价，使得其投标报价可能低于</w:t>
      </w:r>
    </w:p>
    <w:p>
      <w:pPr>
        <w:spacing w:before="221" w:line="250" w:lineRule="exact"/>
        <w:rPr>
          <w:rFonts w:hAnsi="Calibri" w:eastAsia="Times New Roman"/>
          <w:color w:val="000000"/>
          <w:szCs w:val="22"/>
        </w:rPr>
      </w:pPr>
      <w:r>
        <w:rPr>
          <w:rFonts w:ascii="VQBRAD+å®ä½" w:hAnsi="VQBRAD+å®ä½" w:eastAsia="Times New Roman" w:cs="VQBRAD+å®ä½"/>
          <w:color w:val="000000"/>
          <w:szCs w:val="22"/>
        </w:rPr>
        <w:t>其个别成本的，应要求该投标人作出书面说明并提供相应的证明材料。投标人不能合理说</w:t>
      </w:r>
    </w:p>
    <w:p>
      <w:pPr>
        <w:spacing w:before="216" w:line="250" w:lineRule="exact"/>
        <w:rPr>
          <w:rFonts w:hAnsi="Calibri" w:eastAsia="Times New Roman"/>
          <w:color w:val="000000"/>
          <w:szCs w:val="22"/>
        </w:rPr>
      </w:pPr>
      <w:r>
        <w:rPr>
          <w:rFonts w:ascii="VQBRAD+å®ä½" w:hAnsi="VQBRAD+å®ä½" w:eastAsia="Times New Roman" w:cs="VQBRAD+å®ä½"/>
          <w:color w:val="000000"/>
          <w:szCs w:val="22"/>
        </w:rPr>
        <w:t>明或不能提供相应证明材料的，评标委员会应认定该投标人以低于成本报价竞标，并否决</w:t>
      </w:r>
    </w:p>
    <w:p>
      <w:pPr>
        <w:spacing w:before="216" w:line="250" w:lineRule="exact"/>
        <w:rPr>
          <w:rFonts w:hAnsi="Calibri" w:eastAsia="Times New Roman"/>
          <w:color w:val="000000"/>
          <w:szCs w:val="22"/>
        </w:rPr>
      </w:pPr>
      <w:r>
        <w:rPr>
          <w:rFonts w:ascii="VQBRAD+å®ä½" w:hAnsi="VQBRAD+å®ä½" w:eastAsia="Times New Roman" w:cs="VQBRAD+å®ä½"/>
          <w:color w:val="000000"/>
          <w:szCs w:val="22"/>
        </w:rPr>
        <w:t>其投标。</w:t>
      </w:r>
    </w:p>
    <w:p>
      <w:pPr>
        <w:spacing w:before="336" w:line="250" w:lineRule="exact"/>
        <w:ind w:left="360"/>
        <w:rPr>
          <w:rFonts w:hAnsi="Calibri" w:eastAsia="Times New Roman"/>
          <w:color w:val="000000"/>
          <w:szCs w:val="22"/>
        </w:rPr>
      </w:pPr>
      <w:r>
        <w:rPr>
          <w:rFonts w:ascii="IJTADT+å®ä½" w:hAnsi="Calibri" w:eastAsia="Times New Roman"/>
          <w:color w:val="000000"/>
          <w:spacing w:val="2"/>
          <w:szCs w:val="22"/>
        </w:rPr>
        <w:t>3.5</w:t>
      </w:r>
      <w:r>
        <w:rPr>
          <w:rFonts w:ascii="VQBRAD+å®ä½" w:hAnsi="VQBRAD+å®ä½" w:eastAsia="Times New Roman" w:cs="VQBRAD+å®ä½"/>
          <w:color w:val="000000"/>
          <w:spacing w:val="1"/>
          <w:szCs w:val="22"/>
        </w:rPr>
        <w:t>投标文件相关信息的核查</w:t>
      </w:r>
    </w:p>
    <w:p>
      <w:pPr>
        <w:spacing w:before="340" w:line="250" w:lineRule="exact"/>
        <w:ind w:left="480"/>
        <w:rPr>
          <w:rFonts w:hAnsi="Calibri" w:eastAsia="Times New Roman"/>
          <w:color w:val="000000"/>
          <w:szCs w:val="22"/>
        </w:rPr>
      </w:pPr>
      <w:r>
        <w:rPr>
          <w:rFonts w:ascii="IJTADT+å®ä½" w:hAnsi="Calibri" w:eastAsia="Times New Roman"/>
          <w:color w:val="000000"/>
          <w:szCs w:val="22"/>
        </w:rPr>
        <w:t>3.5.1</w:t>
      </w:r>
      <w:r>
        <w:rPr>
          <w:rFonts w:ascii="VQBRAD+å®ä½" w:hAnsi="VQBRAD+å®ä½" w:eastAsia="Times New Roman" w:cs="VQBRAD+å®ä½"/>
          <w:color w:val="000000"/>
          <w:szCs w:val="22"/>
        </w:rPr>
        <w:t>在评标过程中，评标委员会应查询交通运输主管部门“公路建设市场信用信息管</w:t>
      </w:r>
    </w:p>
    <w:p>
      <w:pPr>
        <w:spacing w:before="216" w:line="250" w:lineRule="exact"/>
        <w:rPr>
          <w:rFonts w:hAnsi="Calibri" w:eastAsia="Times New Roman"/>
          <w:color w:val="000000"/>
          <w:szCs w:val="22"/>
        </w:rPr>
      </w:pPr>
      <w:r>
        <w:rPr>
          <w:rFonts w:ascii="VQBRAD+å®ä½" w:hAnsi="VQBRAD+å®ä½" w:eastAsia="Times New Roman" w:cs="VQBRAD+å®ä½"/>
          <w:color w:val="000000"/>
          <w:szCs w:val="22"/>
        </w:rPr>
        <w:t>理系统”，对投标人的资质、业绩、主要人员资历和目前在岗情况、信用等级等信息进行</w:t>
      </w:r>
    </w:p>
    <w:p>
      <w:pPr>
        <w:spacing w:before="216" w:line="250" w:lineRule="exact"/>
        <w:rPr>
          <w:rFonts w:hAnsi="Calibri" w:eastAsia="Times New Roman"/>
          <w:color w:val="000000"/>
          <w:szCs w:val="22"/>
        </w:rPr>
      </w:pPr>
      <w:r>
        <w:rPr>
          <w:rFonts w:ascii="VQBRAD+å®ä½" w:hAnsi="VQBRAD+å®ä½" w:eastAsia="Times New Roman" w:cs="VQBRAD+å®ä½"/>
          <w:color w:val="000000"/>
          <w:szCs w:val="22"/>
        </w:rPr>
        <w:t>核实。若投标文件载明的信息与交通运输主管部门“公路建设市场信用信息管理系统”发</w:t>
      </w:r>
    </w:p>
    <w:p>
      <w:pPr>
        <w:spacing w:before="216" w:line="250" w:lineRule="exact"/>
        <w:rPr>
          <w:rFonts w:hAnsi="Calibri" w:eastAsia="Times New Roman"/>
          <w:color w:val="000000"/>
          <w:szCs w:val="22"/>
        </w:rPr>
      </w:pPr>
      <w:r>
        <w:rPr>
          <w:rFonts w:ascii="VQBRAD+å®ä½" w:hAnsi="VQBRAD+å®ä½" w:eastAsia="Times New Roman" w:cs="VQBRAD+å®ä½"/>
          <w:color w:val="000000"/>
          <w:szCs w:val="22"/>
        </w:rPr>
        <w:t>布的信息不符，使得投标人的资格条件不符合招标文件规定的，评标委员会应否决其投</w:t>
      </w:r>
    </w:p>
    <w:p>
      <w:pPr>
        <w:spacing w:before="220" w:line="250" w:lineRule="exact"/>
        <w:rPr>
          <w:rFonts w:hAnsi="Calibri" w:eastAsia="Times New Roman"/>
          <w:color w:val="000000"/>
          <w:szCs w:val="22"/>
        </w:rPr>
      </w:pPr>
      <w:r>
        <w:rPr>
          <w:rFonts w:ascii="VQBRAD+å®ä½" w:hAnsi="VQBRAD+å®ä½" w:eastAsia="Times New Roman" w:cs="VQBRAD+å®ä½"/>
          <w:color w:val="000000"/>
          <w:szCs w:val="22"/>
        </w:rPr>
        <w:t>标。</w:t>
      </w:r>
    </w:p>
    <w:p>
      <w:pPr>
        <w:spacing w:before="216" w:line="250" w:lineRule="exact"/>
        <w:ind w:left="480"/>
        <w:rPr>
          <w:rFonts w:hAnsi="Calibri" w:eastAsia="Times New Roman"/>
          <w:color w:val="000000"/>
          <w:szCs w:val="22"/>
        </w:rPr>
      </w:pPr>
      <w:r>
        <w:rPr>
          <w:rFonts w:ascii="IJTADT+å®ä½" w:hAnsi="Calibri" w:eastAsia="Times New Roman"/>
          <w:color w:val="000000"/>
          <w:szCs w:val="22"/>
        </w:rPr>
        <w:t>3.5.2</w:t>
      </w:r>
      <w:r>
        <w:rPr>
          <w:rFonts w:ascii="VQBRAD+å®ä½" w:hAnsi="VQBRAD+å®ä½" w:eastAsia="Times New Roman" w:cs="VQBRAD+å®ä½"/>
          <w:color w:val="000000"/>
          <w:szCs w:val="22"/>
        </w:rPr>
        <w:t>评标委员会应对在评标过程中发现的投标人与投标人之间、投标人与招标人之间</w:t>
      </w:r>
    </w:p>
    <w:p>
      <w:pPr>
        <w:spacing w:before="216" w:line="250" w:lineRule="exact"/>
        <w:rPr>
          <w:rFonts w:hAnsi="Calibri" w:eastAsia="Times New Roman"/>
          <w:color w:val="000000"/>
          <w:szCs w:val="22"/>
        </w:rPr>
      </w:pPr>
      <w:r>
        <w:rPr>
          <w:rFonts w:ascii="VQBRAD+å®ä½" w:hAnsi="VQBRAD+å®ä½" w:eastAsia="Times New Roman" w:cs="VQBRAD+å®ä½"/>
          <w:color w:val="000000"/>
          <w:szCs w:val="22"/>
        </w:rPr>
        <w:t>存在的串通投标的情形进行评审和认定。投标人存在串通投标、弄虚作假、行贿等违法行</w:t>
      </w:r>
    </w:p>
    <w:p>
      <w:pPr>
        <w:spacing w:before="216" w:line="250" w:lineRule="exact"/>
        <w:rPr>
          <w:rFonts w:hAnsi="Calibri" w:eastAsia="Times New Roman"/>
          <w:color w:val="000000"/>
          <w:szCs w:val="22"/>
        </w:rPr>
      </w:pPr>
      <w:r>
        <w:rPr>
          <w:rFonts w:ascii="VQBRAD+å®ä½" w:hAnsi="VQBRAD+å®ä½" w:eastAsia="Times New Roman" w:cs="VQBRAD+å®ä½"/>
          <w:color w:val="000000"/>
          <w:szCs w:val="22"/>
        </w:rPr>
        <w:t>为的，评标委员会应否决其投标。</w:t>
      </w:r>
    </w:p>
    <w:p>
      <w:pPr>
        <w:spacing w:before="220" w:line="250" w:lineRule="exact"/>
        <w:ind w:left="480"/>
        <w:rPr>
          <w:rFonts w:hAnsi="Calibri" w:eastAsia="Times New Roman"/>
          <w:color w:val="000000"/>
          <w:szCs w:val="22"/>
        </w:rPr>
      </w:pPr>
      <w:r>
        <w:rPr>
          <w:rFonts w:ascii="VQBRAD+å®ä½" w:hAnsi="VQBRAD+å®ä½" w:eastAsia="Times New Roman" w:cs="VQBRAD+å®ä½"/>
          <w:color w:val="000000"/>
          <w:szCs w:val="22"/>
        </w:rPr>
        <w:t>（</w:t>
      </w:r>
      <w:r>
        <w:rPr>
          <w:rFonts w:ascii="IJTADT+å®ä½" w:hAnsi="Calibri" w:eastAsia="Times New Roman"/>
          <w:color w:val="000000"/>
          <w:szCs w:val="22"/>
        </w:rPr>
        <w:t>1</w:t>
      </w:r>
      <w:r>
        <w:rPr>
          <w:rFonts w:ascii="VQBRAD+å®ä½" w:hAnsi="VQBRAD+å®ä½" w:eastAsia="Times New Roman" w:cs="VQBRAD+å®ä½"/>
          <w:color w:val="000000"/>
          <w:szCs w:val="22"/>
        </w:rPr>
        <w:t>）有下列情形之一的，属于投标人相互串通投标：</w:t>
      </w:r>
    </w:p>
    <w:p>
      <w:pPr>
        <w:spacing w:before="216" w:line="250" w:lineRule="exact"/>
        <w:ind w:left="480"/>
        <w:rPr>
          <w:rFonts w:hAnsi="Calibri" w:eastAsia="Times New Roman"/>
          <w:color w:val="000000"/>
          <w:szCs w:val="22"/>
        </w:rPr>
      </w:pPr>
      <w:r>
        <w:rPr>
          <w:rFonts w:ascii="IJTADT+å®ä½" w:hAnsi="Calibri" w:eastAsia="Times New Roman"/>
          <w:color w:val="000000"/>
          <w:szCs w:val="22"/>
        </w:rPr>
        <w:t>a.</w:t>
      </w:r>
      <w:r>
        <w:rPr>
          <w:rFonts w:ascii="VQBRAD+å®ä½" w:hAnsi="VQBRAD+å®ä½" w:eastAsia="Times New Roman" w:cs="VQBRAD+å®ä½"/>
          <w:color w:val="000000"/>
          <w:szCs w:val="22"/>
        </w:rPr>
        <w:t>投标人之间协商投标报价等投标文件的实质性内容；</w:t>
      </w:r>
    </w:p>
    <w:p>
      <w:pPr>
        <w:spacing w:before="216" w:line="250" w:lineRule="exact"/>
        <w:ind w:left="480"/>
        <w:rPr>
          <w:rFonts w:hAnsi="Calibri" w:eastAsia="Times New Roman"/>
          <w:color w:val="000000"/>
          <w:szCs w:val="22"/>
        </w:rPr>
      </w:pPr>
      <w:r>
        <w:rPr>
          <w:rFonts w:ascii="IJTADT+å®ä½" w:hAnsi="Calibri" w:eastAsia="Times New Roman"/>
          <w:color w:val="000000"/>
          <w:szCs w:val="22"/>
        </w:rPr>
        <w:t>b.</w:t>
      </w:r>
      <w:r>
        <w:rPr>
          <w:rFonts w:ascii="VQBRAD+å®ä½" w:hAnsi="VQBRAD+å®ä½" w:eastAsia="Times New Roman" w:cs="VQBRAD+å®ä½"/>
          <w:color w:val="000000"/>
          <w:szCs w:val="22"/>
        </w:rPr>
        <w:t>投标人之间约定中标人；</w:t>
      </w:r>
    </w:p>
    <w:p>
      <w:pPr>
        <w:spacing w:before="220" w:line="250" w:lineRule="exact"/>
        <w:ind w:left="480"/>
        <w:rPr>
          <w:rFonts w:hAnsi="Calibri" w:eastAsia="Times New Roman"/>
          <w:color w:val="000000"/>
          <w:szCs w:val="22"/>
        </w:rPr>
      </w:pPr>
      <w:r>
        <w:rPr>
          <w:rFonts w:ascii="IJTADT+å®ä½" w:hAnsi="Calibri" w:eastAsia="Times New Roman"/>
          <w:color w:val="000000"/>
          <w:szCs w:val="22"/>
        </w:rPr>
        <w:t>c.</w:t>
      </w:r>
      <w:r>
        <w:rPr>
          <w:rFonts w:ascii="VQBRAD+å®ä½" w:hAnsi="VQBRAD+å®ä½" w:eastAsia="Times New Roman" w:cs="VQBRAD+å®ä½"/>
          <w:color w:val="000000"/>
          <w:szCs w:val="22"/>
        </w:rPr>
        <w:t>投标人之间约定部分投标人放弃投标或中标；</w:t>
      </w:r>
    </w:p>
    <w:p>
      <w:pPr>
        <w:spacing w:before="216" w:line="250" w:lineRule="exact"/>
        <w:ind w:left="480"/>
        <w:rPr>
          <w:rFonts w:hAnsi="Calibri" w:eastAsia="Times New Roman"/>
          <w:color w:val="000000"/>
          <w:szCs w:val="22"/>
        </w:rPr>
      </w:pPr>
      <w:r>
        <w:rPr>
          <w:rFonts w:ascii="IJTADT+å®ä½" w:hAnsi="Calibri" w:eastAsia="Times New Roman"/>
          <w:color w:val="000000"/>
          <w:szCs w:val="22"/>
        </w:rPr>
        <w:t>d.</w:t>
      </w:r>
      <w:r>
        <w:rPr>
          <w:rFonts w:ascii="VQBRAD+å®ä½" w:hAnsi="VQBRAD+å®ä½" w:eastAsia="Times New Roman" w:cs="VQBRAD+å®ä½"/>
          <w:color w:val="000000"/>
          <w:szCs w:val="22"/>
        </w:rPr>
        <w:t>属于同一集团、协会、商会等组织成员的投标人按照该组织要求协同投标；</w:t>
      </w:r>
    </w:p>
    <w:p>
      <w:pPr>
        <w:spacing w:before="216" w:line="250" w:lineRule="exact"/>
        <w:ind w:left="480"/>
        <w:rPr>
          <w:rFonts w:hAnsi="Calibri" w:eastAsia="Times New Roman"/>
          <w:color w:val="000000"/>
          <w:szCs w:val="22"/>
        </w:rPr>
      </w:pPr>
      <w:r>
        <w:rPr>
          <w:rFonts w:ascii="IJTADT+å®ä½" w:hAnsi="Calibri" w:eastAsia="Times New Roman"/>
          <w:color w:val="000000"/>
          <w:szCs w:val="22"/>
        </w:rPr>
        <w:t>e.</w:t>
      </w:r>
      <w:r>
        <w:rPr>
          <w:rFonts w:ascii="VQBRAD+å®ä½" w:hAnsi="VQBRAD+å®ä½" w:eastAsia="Times New Roman" w:cs="VQBRAD+å®ä½"/>
          <w:color w:val="000000"/>
          <w:szCs w:val="22"/>
        </w:rPr>
        <w:t>投标人之间为谋取中标或排斥特定投标人而采取的其他联合行动。</w:t>
      </w:r>
    </w:p>
    <w:p>
      <w:pPr>
        <w:spacing w:before="216" w:line="250" w:lineRule="exact"/>
        <w:ind w:left="480"/>
        <w:rPr>
          <w:rFonts w:hAnsi="Calibri" w:eastAsia="Times New Roman"/>
          <w:color w:val="000000"/>
          <w:szCs w:val="22"/>
        </w:rPr>
      </w:pPr>
      <w:r>
        <w:rPr>
          <w:rFonts w:ascii="VQBRAD+å®ä½" w:hAnsi="VQBRAD+å®ä½" w:eastAsia="Times New Roman" w:cs="VQBRAD+å®ä½"/>
          <w:color w:val="000000"/>
          <w:szCs w:val="22"/>
        </w:rPr>
        <w:t>（</w:t>
      </w:r>
      <w:r>
        <w:rPr>
          <w:rFonts w:ascii="IJTADT+å®ä½" w:hAnsi="Calibri" w:eastAsia="Times New Roman"/>
          <w:color w:val="000000"/>
          <w:szCs w:val="22"/>
        </w:rPr>
        <w:t>2</w:t>
      </w:r>
      <w:r>
        <w:rPr>
          <w:rFonts w:ascii="VQBRAD+å®ä½" w:hAnsi="VQBRAD+å®ä½" w:eastAsia="Times New Roman" w:cs="VQBRAD+å®ä½"/>
          <w:color w:val="000000"/>
          <w:szCs w:val="22"/>
        </w:rPr>
        <w:t>）有下列情形之一的，视为投标人相互串通投标：</w:t>
      </w:r>
    </w:p>
    <w:p>
      <w:pPr>
        <w:spacing w:before="220" w:line="250" w:lineRule="exact"/>
        <w:ind w:left="480"/>
        <w:rPr>
          <w:rFonts w:hAnsi="Calibri" w:eastAsia="Times New Roman"/>
          <w:color w:val="000000"/>
          <w:szCs w:val="22"/>
        </w:rPr>
      </w:pPr>
      <w:r>
        <w:rPr>
          <w:rFonts w:ascii="IJTADT+å®ä½" w:hAnsi="Calibri" w:eastAsia="Times New Roman"/>
          <w:color w:val="000000"/>
          <w:szCs w:val="22"/>
        </w:rPr>
        <w:t>a.</w:t>
      </w:r>
      <w:r>
        <w:rPr>
          <w:rFonts w:ascii="VQBRAD+å®ä½" w:hAnsi="VQBRAD+å®ä½" w:eastAsia="Times New Roman" w:cs="VQBRAD+å®ä½"/>
          <w:color w:val="000000"/>
          <w:szCs w:val="22"/>
        </w:rPr>
        <w:t>不同投标人的投标文件由同一单位或个人编制；</w:t>
      </w:r>
    </w:p>
    <w:p>
      <w:pPr>
        <w:spacing w:before="216" w:line="250" w:lineRule="exact"/>
        <w:ind w:left="480"/>
        <w:rPr>
          <w:rFonts w:hAnsi="Calibri" w:eastAsia="Times New Roman"/>
          <w:color w:val="000000"/>
          <w:szCs w:val="22"/>
        </w:rPr>
      </w:pPr>
      <w:r>
        <w:rPr>
          <w:rFonts w:ascii="IJTADT+å®ä½" w:hAnsi="Calibri" w:eastAsia="Times New Roman"/>
          <w:color w:val="000000"/>
          <w:szCs w:val="22"/>
        </w:rPr>
        <w:t>b.</w:t>
      </w:r>
      <w:r>
        <w:rPr>
          <w:rFonts w:ascii="VQBRAD+å®ä½" w:hAnsi="VQBRAD+å®ä½" w:eastAsia="Times New Roman" w:cs="VQBRAD+å®ä½"/>
          <w:color w:val="000000"/>
          <w:szCs w:val="22"/>
        </w:rPr>
        <w:t>不同投标人委托同一单位或个人办理投标事宜；</w:t>
      </w:r>
    </w:p>
    <w:p>
      <w:pPr>
        <w:spacing w:before="274" w:line="221" w:lineRule="exact"/>
        <w:ind w:left="4658"/>
        <w:rPr>
          <w:rFonts w:ascii="IJTADT+å®ä½" w:hAnsi="Calibri" w:eastAsia="Times New Roman"/>
          <w:color w:val="000000"/>
          <w:sz w:val="21"/>
          <w:szCs w:val="22"/>
        </w:rPr>
        <w:sectPr>
          <w:pgSz w:w="11900" w:h="16840"/>
          <w:pgMar w:top="1442" w:right="100" w:bottom="0" w:left="1191" w:header="720" w:footer="720" w:gutter="0"/>
          <w:pgNumType w:start="1"/>
          <w:cols w:space="720" w:num="1"/>
          <w:docGrid w:linePitch="1" w:charSpace="0"/>
        </w:sectPr>
      </w:pPr>
    </w:p>
    <w:p>
      <w:pPr>
        <w:spacing w:line="250" w:lineRule="exact"/>
        <w:ind w:left="480"/>
        <w:rPr>
          <w:rFonts w:hAnsi="Calibri" w:eastAsia="Times New Roman"/>
          <w:color w:val="000000"/>
          <w:szCs w:val="22"/>
        </w:rPr>
      </w:pPr>
      <w:r>
        <w:rPr>
          <w:rFonts w:ascii="UWLEBI+å®ä½" w:hAnsi="Calibri" w:eastAsia="Times New Roman"/>
          <w:color w:val="000000"/>
          <w:szCs w:val="22"/>
        </w:rPr>
        <w:t>c.</w:t>
      </w:r>
      <w:r>
        <w:rPr>
          <w:rFonts w:ascii="JOEKHD+å®ä½" w:hAnsi="JOEKHD+å®ä½" w:eastAsia="Times New Roman" w:cs="JOEKHD+å®ä½"/>
          <w:color w:val="000000"/>
          <w:szCs w:val="22"/>
        </w:rPr>
        <w:t>不同投标人的投标文件载明的项目管理成员为同一人；</w:t>
      </w:r>
    </w:p>
    <w:p>
      <w:pPr>
        <w:spacing w:before="220" w:line="250" w:lineRule="exact"/>
        <w:ind w:left="480"/>
        <w:rPr>
          <w:rFonts w:hAnsi="Calibri" w:eastAsia="Times New Roman"/>
          <w:color w:val="000000"/>
          <w:szCs w:val="22"/>
        </w:rPr>
      </w:pPr>
      <w:r>
        <w:rPr>
          <w:rFonts w:ascii="UWLEBI+å®ä½" w:hAnsi="Calibri" w:eastAsia="Times New Roman"/>
          <w:color w:val="000000"/>
          <w:szCs w:val="22"/>
        </w:rPr>
        <w:t>d.</w:t>
      </w:r>
      <w:r>
        <w:rPr>
          <w:rFonts w:ascii="JOEKHD+å®ä½" w:hAnsi="JOEKHD+å®ä½" w:eastAsia="Times New Roman" w:cs="JOEKHD+å®ä½"/>
          <w:color w:val="000000"/>
          <w:szCs w:val="22"/>
        </w:rPr>
        <w:t>不同投标人的投标文件异常一致或投标报价呈规律性差异；</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e.</w:t>
      </w:r>
      <w:r>
        <w:rPr>
          <w:rFonts w:ascii="JOEKHD+å®ä½" w:hAnsi="JOEKHD+å®ä½" w:eastAsia="Times New Roman" w:cs="JOEKHD+å®ä½"/>
          <w:color w:val="000000"/>
          <w:szCs w:val="22"/>
        </w:rPr>
        <w:t>不同投标人的投标文件相互混装；</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f.</w:t>
      </w:r>
      <w:r>
        <w:rPr>
          <w:rFonts w:ascii="JOEKHD+å®ä½" w:hAnsi="JOEKHD+å®ä½" w:eastAsia="Times New Roman" w:cs="JOEKHD+å®ä½"/>
          <w:color w:val="000000"/>
          <w:szCs w:val="22"/>
        </w:rPr>
        <w:t>不同投标人的投标保证金从同一单位或个人的账户转出。</w:t>
      </w:r>
    </w:p>
    <w:p>
      <w:pPr>
        <w:spacing w:before="216" w:line="250" w:lineRule="exact"/>
        <w:ind w:left="480"/>
        <w:rPr>
          <w:rFonts w:hAnsi="Calibri" w:eastAsia="Times New Roman"/>
          <w:color w:val="000000"/>
          <w:szCs w:val="22"/>
        </w:rPr>
      </w:pPr>
      <w:r>
        <w:rPr>
          <w:rFonts w:ascii="JOEKHD+å®ä½" w:hAnsi="JOEKHD+å®ä½" w:eastAsia="Times New Roman" w:cs="JOEKHD+å®ä½"/>
          <w:color w:val="000000"/>
          <w:szCs w:val="22"/>
        </w:rPr>
        <w:t>（</w:t>
      </w:r>
      <w:r>
        <w:rPr>
          <w:rFonts w:ascii="UWLEBI+å®ä½" w:hAnsi="Calibri" w:eastAsia="Times New Roman"/>
          <w:color w:val="000000"/>
          <w:szCs w:val="22"/>
        </w:rPr>
        <w:t>3</w:t>
      </w:r>
      <w:r>
        <w:rPr>
          <w:rFonts w:ascii="JOEKHD+å®ä½" w:hAnsi="JOEKHD+å®ä½" w:eastAsia="Times New Roman" w:cs="JOEKHD+å®ä½"/>
          <w:color w:val="000000"/>
          <w:szCs w:val="22"/>
        </w:rPr>
        <w:t>）有下列情形之一的，属于招标人与投标人串通投标：</w:t>
      </w:r>
    </w:p>
    <w:p>
      <w:pPr>
        <w:spacing w:before="221" w:line="250" w:lineRule="exact"/>
        <w:ind w:left="480"/>
        <w:rPr>
          <w:rFonts w:ascii="UWLEBI+å®ä½" w:hAnsi="Calibri" w:eastAsia="Times New Roman"/>
          <w:color w:val="000000"/>
          <w:szCs w:val="22"/>
        </w:rPr>
      </w:pPr>
      <w:r>
        <w:rPr>
          <w:rFonts w:ascii="UWLEBI+å®ä½" w:hAnsi="Calibri" w:eastAsia="Times New Roman"/>
          <w:color w:val="000000"/>
          <w:szCs w:val="22"/>
        </w:rPr>
        <w:t>a.</w:t>
      </w:r>
      <w:r>
        <w:rPr>
          <w:rFonts w:ascii="JOEKHD+å®ä½" w:hAnsi="JOEKHD+å®ä½" w:eastAsia="Times New Roman" w:cs="JOEKHD+å®ä½"/>
          <w:color w:val="000000"/>
          <w:szCs w:val="22"/>
        </w:rPr>
        <w:t>招标人在开标前开启投标文件并将有关信息泄露给其他投标人</w:t>
      </w:r>
      <w:r>
        <w:rPr>
          <w:rFonts w:ascii="UWLEBI+å®ä½" w:hAnsi="Calibri" w:eastAsia="Times New Roman"/>
          <w:color w:val="000000"/>
          <w:szCs w:val="22"/>
        </w:rPr>
        <w:t>;</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b.</w:t>
      </w:r>
      <w:r>
        <w:rPr>
          <w:rFonts w:ascii="JOEKHD+å®ä½" w:hAnsi="JOEKHD+å®ä½" w:eastAsia="Times New Roman" w:cs="JOEKHD+å®ä½"/>
          <w:color w:val="000000"/>
          <w:szCs w:val="22"/>
        </w:rPr>
        <w:t>招标人直接或间接向投标人泄露标底、评标委员会成员等信息；</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c.</w:t>
      </w:r>
      <w:r>
        <w:rPr>
          <w:rFonts w:ascii="JOEKHD+å®ä½" w:hAnsi="JOEKHD+å®ä½" w:eastAsia="Times New Roman" w:cs="JOEKHD+å®ä½"/>
          <w:color w:val="000000"/>
          <w:szCs w:val="22"/>
        </w:rPr>
        <w:t>招标人明示或暗示投标人压低或抬高投标报价；</w:t>
      </w:r>
    </w:p>
    <w:p>
      <w:pPr>
        <w:spacing w:before="220" w:line="250" w:lineRule="exact"/>
        <w:ind w:left="480"/>
        <w:rPr>
          <w:rFonts w:hAnsi="Calibri" w:eastAsia="Times New Roman"/>
          <w:color w:val="000000"/>
          <w:szCs w:val="22"/>
        </w:rPr>
      </w:pPr>
      <w:r>
        <w:rPr>
          <w:rFonts w:ascii="UWLEBI+å®ä½" w:hAnsi="Calibri" w:eastAsia="Times New Roman"/>
          <w:color w:val="000000"/>
          <w:szCs w:val="22"/>
        </w:rPr>
        <w:t>d.</w:t>
      </w:r>
      <w:r>
        <w:rPr>
          <w:rFonts w:ascii="JOEKHD+å®ä½" w:hAnsi="JOEKHD+å®ä½" w:eastAsia="Times New Roman" w:cs="JOEKHD+å®ä½"/>
          <w:color w:val="000000"/>
          <w:szCs w:val="22"/>
        </w:rPr>
        <w:t>招标人授意投标人撤换、修改投标文件；</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e.</w:t>
      </w:r>
      <w:r>
        <w:rPr>
          <w:rFonts w:ascii="JOEKHD+å®ä½" w:hAnsi="JOEKHD+å®ä½" w:eastAsia="Times New Roman" w:cs="JOEKHD+å®ä½"/>
          <w:color w:val="000000"/>
          <w:szCs w:val="22"/>
        </w:rPr>
        <w:t>招标人明示或暗示投标人为特定投标人中标提供方便；</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f.</w:t>
      </w:r>
      <w:r>
        <w:rPr>
          <w:rFonts w:ascii="JOEKHD+å®ä½" w:hAnsi="JOEKHD+å®ä½" w:eastAsia="Times New Roman" w:cs="JOEKHD+å®ä½"/>
          <w:color w:val="000000"/>
          <w:szCs w:val="22"/>
        </w:rPr>
        <w:t>招标人与投标人为谋求特定投标人中标而采取的其他串通行为。</w:t>
      </w:r>
    </w:p>
    <w:p>
      <w:pPr>
        <w:spacing w:before="216" w:line="250" w:lineRule="exact"/>
        <w:ind w:left="480"/>
        <w:rPr>
          <w:rFonts w:hAnsi="Calibri" w:eastAsia="Times New Roman"/>
          <w:color w:val="000000"/>
          <w:szCs w:val="22"/>
        </w:rPr>
      </w:pPr>
      <w:r>
        <w:rPr>
          <w:rFonts w:ascii="JOEKHD+å®ä½" w:hAnsi="JOEKHD+å®ä½" w:eastAsia="Times New Roman" w:cs="JOEKHD+å®ä½"/>
          <w:color w:val="000000"/>
          <w:szCs w:val="22"/>
        </w:rPr>
        <w:t>（</w:t>
      </w:r>
      <w:r>
        <w:rPr>
          <w:rFonts w:ascii="UWLEBI+å®ä½" w:hAnsi="Calibri" w:eastAsia="Times New Roman"/>
          <w:color w:val="000000"/>
          <w:szCs w:val="22"/>
        </w:rPr>
        <w:t>4</w:t>
      </w:r>
      <w:r>
        <w:rPr>
          <w:rFonts w:ascii="JOEKHD+å®ä½" w:hAnsi="JOEKHD+å®ä½" w:eastAsia="Times New Roman" w:cs="JOEKHD+å®ä½"/>
          <w:color w:val="000000"/>
          <w:szCs w:val="22"/>
        </w:rPr>
        <w:t>）投标人有下列情形之一的，属于弄虚作假的行为：</w:t>
      </w:r>
    </w:p>
    <w:p>
      <w:pPr>
        <w:spacing w:before="221" w:line="250" w:lineRule="exact"/>
        <w:ind w:left="480"/>
        <w:rPr>
          <w:rFonts w:hAnsi="Calibri" w:eastAsia="Times New Roman"/>
          <w:color w:val="000000"/>
          <w:szCs w:val="22"/>
        </w:rPr>
      </w:pPr>
      <w:r>
        <w:rPr>
          <w:rFonts w:ascii="UWLEBI+å®ä½" w:hAnsi="Calibri" w:eastAsia="Times New Roman"/>
          <w:color w:val="000000"/>
          <w:szCs w:val="22"/>
        </w:rPr>
        <w:t>a.</w:t>
      </w:r>
      <w:r>
        <w:rPr>
          <w:rFonts w:ascii="JOEKHD+å®ä½" w:hAnsi="JOEKHD+å®ä½" w:eastAsia="Times New Roman" w:cs="JOEKHD+å®ä½"/>
          <w:color w:val="000000"/>
          <w:szCs w:val="22"/>
        </w:rPr>
        <w:t>使用通过受让或租借等方式获取的资格、资质证书投标；</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b.</w:t>
      </w:r>
      <w:r>
        <w:rPr>
          <w:rFonts w:ascii="JOEKHD+å®ä½" w:hAnsi="JOEKHD+å®ä½" w:eastAsia="Times New Roman" w:cs="JOEKHD+å®ä½"/>
          <w:color w:val="000000"/>
          <w:szCs w:val="22"/>
        </w:rPr>
        <w:t>使用伪造、变造的许可证件；</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c.</w:t>
      </w:r>
      <w:r>
        <w:rPr>
          <w:rFonts w:ascii="JOEKHD+å®ä½" w:hAnsi="JOEKHD+å®ä½" w:eastAsia="Times New Roman" w:cs="JOEKHD+å®ä½"/>
          <w:color w:val="000000"/>
          <w:szCs w:val="22"/>
        </w:rPr>
        <w:t>提供虚假的财务状况或业绩；</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d.</w:t>
      </w:r>
      <w:r>
        <w:rPr>
          <w:rFonts w:ascii="JOEKHD+å®ä½" w:hAnsi="JOEKHD+å®ä½" w:eastAsia="Times New Roman" w:cs="JOEKHD+å®ä½"/>
          <w:color w:val="000000"/>
          <w:szCs w:val="22"/>
        </w:rPr>
        <w:t>提供虚假的项目负责人或主要技术人员简历、劳动关系证明；</w:t>
      </w:r>
    </w:p>
    <w:p>
      <w:pPr>
        <w:spacing w:before="221" w:line="250" w:lineRule="exact"/>
        <w:ind w:left="480"/>
        <w:rPr>
          <w:rFonts w:hAnsi="Calibri" w:eastAsia="Times New Roman"/>
          <w:color w:val="000000"/>
          <w:szCs w:val="22"/>
        </w:rPr>
      </w:pPr>
      <w:r>
        <w:rPr>
          <w:rFonts w:ascii="UWLEBI+å®ä½" w:hAnsi="Calibri" w:eastAsia="Times New Roman"/>
          <w:color w:val="000000"/>
          <w:szCs w:val="22"/>
        </w:rPr>
        <w:t>e.</w:t>
      </w:r>
      <w:r>
        <w:rPr>
          <w:rFonts w:ascii="JOEKHD+å®ä½" w:hAnsi="JOEKHD+å®ä½" w:eastAsia="Times New Roman" w:cs="JOEKHD+å®ä½"/>
          <w:color w:val="000000"/>
          <w:szCs w:val="22"/>
        </w:rPr>
        <w:t>提供虚假的信用状况；</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f.</w:t>
      </w:r>
      <w:r>
        <w:rPr>
          <w:rFonts w:ascii="JOEKHD+å®ä½" w:hAnsi="JOEKHD+å®ä½" w:eastAsia="Times New Roman" w:cs="JOEKHD+å®ä½"/>
          <w:color w:val="000000"/>
          <w:szCs w:val="22"/>
        </w:rPr>
        <w:t>其他弄虚作假的行为。</w:t>
      </w:r>
    </w:p>
    <w:p>
      <w:pPr>
        <w:spacing w:before="336" w:line="250" w:lineRule="exact"/>
        <w:ind w:left="360"/>
        <w:rPr>
          <w:rFonts w:hAnsi="Calibri" w:eastAsia="Times New Roman"/>
          <w:color w:val="000000"/>
          <w:szCs w:val="22"/>
        </w:rPr>
      </w:pPr>
      <w:r>
        <w:rPr>
          <w:rFonts w:ascii="UWLEBI+å®ä½" w:hAnsi="Calibri" w:eastAsia="Times New Roman"/>
          <w:color w:val="000000"/>
          <w:spacing w:val="2"/>
          <w:szCs w:val="22"/>
        </w:rPr>
        <w:t>3.6</w:t>
      </w:r>
      <w:r>
        <w:rPr>
          <w:rFonts w:ascii="UWLEBI+å®ä½" w:hAnsi="Calibri" w:eastAsia="Times New Roman"/>
          <w:color w:val="000000"/>
          <w:spacing w:val="-2"/>
          <w:szCs w:val="22"/>
        </w:rPr>
        <w:t xml:space="preserve"> </w:t>
      </w:r>
      <w:r>
        <w:rPr>
          <w:rFonts w:ascii="JOEKHD+å®ä½" w:hAnsi="JOEKHD+å®ä½" w:eastAsia="Times New Roman" w:cs="JOEKHD+å®ä½"/>
          <w:color w:val="000000"/>
          <w:spacing w:val="1"/>
          <w:szCs w:val="22"/>
        </w:rPr>
        <w:t>投标文件的澄清和说明</w:t>
      </w:r>
    </w:p>
    <w:p>
      <w:pPr>
        <w:spacing w:before="336" w:line="250" w:lineRule="exact"/>
        <w:ind w:left="480"/>
        <w:rPr>
          <w:rFonts w:hAnsi="Calibri" w:eastAsia="Times New Roman"/>
          <w:color w:val="000000"/>
          <w:szCs w:val="22"/>
        </w:rPr>
      </w:pPr>
      <w:r>
        <w:rPr>
          <w:rFonts w:ascii="UWLEBI+å®ä½" w:hAnsi="Calibri" w:eastAsia="Times New Roman"/>
          <w:color w:val="000000"/>
          <w:szCs w:val="22"/>
        </w:rPr>
        <w:t>3.6.1</w:t>
      </w:r>
      <w:r>
        <w:rPr>
          <w:rFonts w:ascii="JOEKHD+å®ä½" w:hAnsi="JOEKHD+å®ä½" w:eastAsia="Times New Roman" w:cs="JOEKHD+å®ä½"/>
          <w:color w:val="000000"/>
          <w:szCs w:val="22"/>
        </w:rPr>
        <w:t>在评标过程中，评标委员会可以书面形式要求投标人对投标文件中含义不明确的</w:t>
      </w:r>
    </w:p>
    <w:p>
      <w:pPr>
        <w:spacing w:before="220" w:line="250" w:lineRule="exact"/>
        <w:rPr>
          <w:rFonts w:hAnsi="Calibri" w:eastAsia="Times New Roman"/>
          <w:color w:val="000000"/>
          <w:szCs w:val="22"/>
        </w:rPr>
      </w:pPr>
      <w:r>
        <w:rPr>
          <w:rFonts w:ascii="JOEKHD+å®ä½" w:hAnsi="JOEKHD+å®ä½" w:eastAsia="Times New Roman" w:cs="JOEKHD+å®ä½"/>
          <w:color w:val="000000"/>
          <w:szCs w:val="22"/>
        </w:rPr>
        <w:t>内容、明显文字或计算错误进行书面澄清或说明。评标委员会不接受投标人主动提出的澄</w:t>
      </w:r>
    </w:p>
    <w:p>
      <w:pPr>
        <w:spacing w:before="216" w:line="250" w:lineRule="exact"/>
        <w:rPr>
          <w:rFonts w:hAnsi="Calibri" w:eastAsia="Times New Roman"/>
          <w:color w:val="000000"/>
          <w:szCs w:val="22"/>
        </w:rPr>
      </w:pPr>
      <w:r>
        <w:rPr>
          <w:rFonts w:ascii="JOEKHD+å®ä½" w:hAnsi="JOEKHD+å®ä½" w:eastAsia="Times New Roman" w:cs="JOEKHD+å®ä½"/>
          <w:color w:val="000000"/>
          <w:szCs w:val="22"/>
        </w:rPr>
        <w:t>清、说明。投标人不按评标委员会要求澄清或说明的，评标委员会应否决其投标。</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3.6.2</w:t>
      </w:r>
      <w:r>
        <w:rPr>
          <w:rFonts w:ascii="JOEKHD+å®ä½" w:hAnsi="JOEKHD+å®ä½" w:eastAsia="Times New Roman" w:cs="JOEKHD+å®ä½"/>
          <w:color w:val="000000"/>
          <w:szCs w:val="22"/>
        </w:rPr>
        <w:t>澄清和说明不得超出投标文件的范围或改变投标文件的实质性内容（算术性错误</w:t>
      </w:r>
    </w:p>
    <w:p>
      <w:pPr>
        <w:spacing w:before="220" w:line="250" w:lineRule="exact"/>
        <w:rPr>
          <w:rFonts w:hAnsi="Calibri" w:eastAsia="Times New Roman"/>
          <w:color w:val="000000"/>
          <w:szCs w:val="22"/>
        </w:rPr>
      </w:pPr>
      <w:r>
        <w:rPr>
          <w:rFonts w:ascii="JOEKHD+å®ä½" w:hAnsi="JOEKHD+å®ä½" w:eastAsia="Times New Roman" w:cs="JOEKHD+å®ä½"/>
          <w:color w:val="000000"/>
          <w:szCs w:val="22"/>
        </w:rPr>
        <w:t>的修正除外）。投标人的书面澄清、说明属于投标文件的组成部分。</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3.6.3</w:t>
      </w:r>
      <w:r>
        <w:rPr>
          <w:rFonts w:ascii="JOEKHD+å®ä½" w:hAnsi="JOEKHD+å®ä½" w:eastAsia="Times New Roman" w:cs="JOEKHD+å®ä½"/>
          <w:color w:val="000000"/>
          <w:szCs w:val="22"/>
        </w:rPr>
        <w:t>评标委员会不得暗示或诱导投标人作出澄清、说明，对投标人提交的澄清、说明</w:t>
      </w:r>
    </w:p>
    <w:p>
      <w:pPr>
        <w:spacing w:before="216" w:line="250" w:lineRule="exact"/>
        <w:rPr>
          <w:rFonts w:hAnsi="Calibri" w:eastAsia="Times New Roman"/>
          <w:color w:val="000000"/>
          <w:szCs w:val="22"/>
        </w:rPr>
      </w:pPr>
      <w:r>
        <w:rPr>
          <w:rFonts w:ascii="JOEKHD+å®ä½" w:hAnsi="JOEKHD+å®ä½" w:eastAsia="Times New Roman" w:cs="JOEKHD+å®ä½"/>
          <w:color w:val="000000"/>
          <w:szCs w:val="22"/>
        </w:rPr>
        <w:t>有疑问的，可以要求投标人进一步澄清或说明，直至满足评标委员会的要求。</w:t>
      </w:r>
    </w:p>
    <w:p>
      <w:pPr>
        <w:spacing w:before="216" w:line="250" w:lineRule="exact"/>
        <w:ind w:left="480"/>
        <w:rPr>
          <w:rFonts w:hAnsi="Calibri" w:eastAsia="Times New Roman"/>
          <w:color w:val="000000"/>
          <w:szCs w:val="22"/>
        </w:rPr>
      </w:pPr>
      <w:r>
        <w:rPr>
          <w:rFonts w:ascii="UWLEBI+å®ä½" w:hAnsi="Calibri" w:eastAsia="Times New Roman"/>
          <w:color w:val="000000"/>
          <w:szCs w:val="22"/>
        </w:rPr>
        <w:t>3.6.4</w:t>
      </w:r>
      <w:r>
        <w:rPr>
          <w:rFonts w:ascii="JOEKHD+å®ä½" w:hAnsi="JOEKHD+å®ä½" w:eastAsia="Times New Roman" w:cs="JOEKHD+å®ä½"/>
          <w:color w:val="000000"/>
          <w:szCs w:val="22"/>
        </w:rPr>
        <w:t>凡超出招标文件规定的或给发包人带来未曾要求的利益的变化、偏差或其他因素</w:t>
      </w:r>
    </w:p>
    <w:p>
      <w:pPr>
        <w:spacing w:before="220" w:line="250" w:lineRule="exact"/>
        <w:rPr>
          <w:rFonts w:hAnsi="Calibri" w:eastAsia="Times New Roman"/>
          <w:color w:val="000000"/>
          <w:szCs w:val="22"/>
        </w:rPr>
      </w:pPr>
      <w:r>
        <w:rPr>
          <w:rFonts w:ascii="JOEKHD+å®ä½" w:hAnsi="JOEKHD+å®ä½" w:eastAsia="Times New Roman" w:cs="JOEKHD+å®ä½"/>
          <w:color w:val="000000"/>
          <w:szCs w:val="22"/>
        </w:rPr>
        <w:t>在评标时不予考虑。</w:t>
      </w:r>
    </w:p>
    <w:p>
      <w:pPr>
        <w:spacing w:before="336" w:line="250" w:lineRule="exact"/>
        <w:ind w:left="360"/>
        <w:rPr>
          <w:rFonts w:hAnsi="Calibri" w:eastAsia="Times New Roman"/>
          <w:color w:val="000000"/>
          <w:szCs w:val="22"/>
        </w:rPr>
      </w:pPr>
      <w:r>
        <w:rPr>
          <w:rFonts w:ascii="UWLEBI+å®ä½" w:hAnsi="Calibri" w:eastAsia="Times New Roman"/>
          <w:color w:val="000000"/>
          <w:spacing w:val="2"/>
          <w:szCs w:val="22"/>
        </w:rPr>
        <w:t>3.7</w:t>
      </w:r>
      <w:r>
        <w:rPr>
          <w:rFonts w:ascii="UWLEBI+å®ä½" w:hAnsi="Calibri" w:eastAsia="Times New Roman"/>
          <w:color w:val="000000"/>
          <w:spacing w:val="-2"/>
          <w:szCs w:val="22"/>
        </w:rPr>
        <w:t xml:space="preserve"> </w:t>
      </w:r>
      <w:r>
        <w:rPr>
          <w:rFonts w:ascii="JOEKHD+å®ä½" w:hAnsi="JOEKHD+å®ä½" w:eastAsia="Times New Roman" w:cs="JOEKHD+å®ä½"/>
          <w:color w:val="000000"/>
          <w:spacing w:val="1"/>
          <w:szCs w:val="22"/>
        </w:rPr>
        <w:t>不得否决投标的情形</w:t>
      </w:r>
    </w:p>
    <w:p>
      <w:pPr>
        <w:spacing w:before="394" w:line="221" w:lineRule="exact"/>
        <w:ind w:left="4658"/>
        <w:rPr>
          <w:rFonts w:ascii="UWLEBI+å®ä½" w:hAnsi="Calibri" w:eastAsia="Times New Roman"/>
          <w:color w:val="000000"/>
          <w:sz w:val="21"/>
          <w:szCs w:val="22"/>
        </w:rPr>
        <w:sectPr>
          <w:pgSz w:w="11900" w:h="16840"/>
          <w:pgMar w:top="1442" w:right="100" w:bottom="0" w:left="1191" w:header="720" w:footer="720" w:gutter="0"/>
          <w:pgNumType w:start="1"/>
          <w:cols w:space="720" w:num="1"/>
          <w:docGrid w:linePitch="1" w:charSpace="0"/>
        </w:sectPr>
      </w:pPr>
    </w:p>
    <w:p>
      <w:pPr>
        <w:spacing w:line="250" w:lineRule="exact"/>
        <w:ind w:left="480"/>
        <w:rPr>
          <w:rFonts w:hAnsi="Calibri" w:eastAsia="Times New Roman"/>
          <w:color w:val="000000"/>
          <w:szCs w:val="22"/>
        </w:rPr>
      </w:pPr>
      <w:r>
        <w:rPr>
          <w:rFonts w:ascii="AIGOCM+å®ä½" w:hAnsi="AIGOCM+å®ä½" w:eastAsia="Times New Roman" w:cs="AIGOCM+å®ä½"/>
          <w:color w:val="000000"/>
          <w:szCs w:val="22"/>
        </w:rPr>
        <w:t>投标文件存在第二章“投标人须知”第</w:t>
      </w:r>
      <w:r>
        <w:rPr>
          <w:rFonts w:ascii="EUGJBD+å®ä½" w:hAnsi="Calibri" w:eastAsia="Times New Roman"/>
          <w:color w:val="000000"/>
          <w:szCs w:val="22"/>
        </w:rPr>
        <w:t>1.12.3</w:t>
      </w:r>
      <w:r>
        <w:rPr>
          <w:rFonts w:ascii="AIGOCM+å®ä½" w:hAnsi="AIGOCM+å®ä½" w:eastAsia="Times New Roman" w:cs="AIGOCM+å®ä½"/>
          <w:color w:val="000000"/>
          <w:szCs w:val="22"/>
        </w:rPr>
        <w:t>项所列情形的，均视为细微偏差，评标</w:t>
      </w:r>
    </w:p>
    <w:p>
      <w:pPr>
        <w:spacing w:before="220" w:line="250" w:lineRule="exact"/>
        <w:rPr>
          <w:rFonts w:hAnsi="Calibri" w:eastAsia="Times New Roman"/>
          <w:color w:val="000000"/>
          <w:szCs w:val="22"/>
        </w:rPr>
      </w:pPr>
      <w:r>
        <w:rPr>
          <w:rFonts w:ascii="AIGOCM+å®ä½" w:hAnsi="AIGOCM+å®ä½" w:eastAsia="Times New Roman" w:cs="AIGOCM+å®ä½"/>
          <w:color w:val="000000"/>
          <w:szCs w:val="22"/>
        </w:rPr>
        <w:t>委员会不得否决投标人的投标，应按照第二章“投标人须知”第</w:t>
      </w:r>
      <w:r>
        <w:rPr>
          <w:rFonts w:ascii="EUGJBD+å®ä½" w:hAnsi="Calibri" w:eastAsia="Times New Roman"/>
          <w:color w:val="000000"/>
          <w:szCs w:val="22"/>
        </w:rPr>
        <w:t>1.12.4</w:t>
      </w:r>
      <w:r>
        <w:rPr>
          <w:rFonts w:ascii="AIGOCM+å®ä½" w:hAnsi="AIGOCM+å®ä½" w:eastAsia="Times New Roman" w:cs="AIGOCM+å®ä½"/>
          <w:color w:val="000000"/>
          <w:szCs w:val="22"/>
        </w:rPr>
        <w:t>项规定的原则处</w:t>
      </w:r>
    </w:p>
    <w:p>
      <w:pPr>
        <w:spacing w:before="216" w:line="250" w:lineRule="exact"/>
        <w:rPr>
          <w:rFonts w:hAnsi="Calibri" w:eastAsia="Times New Roman"/>
          <w:color w:val="000000"/>
          <w:szCs w:val="22"/>
        </w:rPr>
      </w:pPr>
      <w:r>
        <w:rPr>
          <w:rFonts w:ascii="AIGOCM+å®ä½" w:hAnsi="AIGOCM+å®ä½" w:eastAsia="Times New Roman" w:cs="AIGOCM+å®ä½"/>
          <w:color w:val="000000"/>
          <w:szCs w:val="22"/>
        </w:rPr>
        <w:t>理。</w:t>
      </w:r>
    </w:p>
    <w:p>
      <w:pPr>
        <w:spacing w:before="336" w:line="250" w:lineRule="exact"/>
        <w:ind w:left="360"/>
        <w:rPr>
          <w:rFonts w:hAnsi="Calibri" w:eastAsia="Times New Roman"/>
          <w:color w:val="000000"/>
          <w:szCs w:val="22"/>
        </w:rPr>
      </w:pPr>
      <w:r>
        <w:rPr>
          <w:rFonts w:ascii="EUGJBD+å®ä½" w:hAnsi="Calibri" w:eastAsia="Times New Roman"/>
          <w:color w:val="000000"/>
          <w:spacing w:val="2"/>
          <w:szCs w:val="22"/>
        </w:rPr>
        <w:t>3.8</w:t>
      </w:r>
      <w:r>
        <w:rPr>
          <w:rFonts w:ascii="EUGJBD+å®ä½" w:hAnsi="Calibri" w:eastAsia="Times New Roman"/>
          <w:color w:val="000000"/>
          <w:spacing w:val="-2"/>
          <w:szCs w:val="22"/>
        </w:rPr>
        <w:t xml:space="preserve"> </w:t>
      </w:r>
      <w:r>
        <w:rPr>
          <w:rFonts w:ascii="AIGOCM+å®ä½" w:hAnsi="AIGOCM+å®ä½" w:eastAsia="Times New Roman" w:cs="AIGOCM+å®ä½"/>
          <w:color w:val="000000"/>
          <w:spacing w:val="2"/>
          <w:szCs w:val="22"/>
        </w:rPr>
        <w:t>评标结果</w:t>
      </w:r>
    </w:p>
    <w:p>
      <w:pPr>
        <w:spacing w:before="336" w:line="250" w:lineRule="exact"/>
        <w:ind w:left="480"/>
        <w:rPr>
          <w:rFonts w:hAnsi="Calibri" w:eastAsia="Times New Roman"/>
          <w:color w:val="000000"/>
          <w:szCs w:val="22"/>
        </w:rPr>
      </w:pPr>
      <w:r>
        <w:rPr>
          <w:rFonts w:ascii="EUGJBD+å®ä½" w:hAnsi="Calibri" w:eastAsia="Times New Roman"/>
          <w:color w:val="000000"/>
          <w:szCs w:val="22"/>
        </w:rPr>
        <w:t>3.8.1</w:t>
      </w:r>
      <w:r>
        <w:rPr>
          <w:rFonts w:ascii="AIGOCM+å®ä½" w:hAnsi="AIGOCM+å®ä½" w:eastAsia="Times New Roman" w:cs="AIGOCM+å®ä½"/>
          <w:color w:val="000000"/>
          <w:szCs w:val="22"/>
        </w:rPr>
        <w:t>除第二章“投标人须知”前附表授权直接确定中标人外，评标委员会按照得分由</w:t>
      </w:r>
    </w:p>
    <w:p>
      <w:pPr>
        <w:spacing w:before="221" w:line="250" w:lineRule="exact"/>
        <w:rPr>
          <w:rFonts w:hAnsi="Calibri" w:eastAsia="Times New Roman"/>
          <w:color w:val="000000"/>
          <w:szCs w:val="22"/>
        </w:rPr>
      </w:pPr>
      <w:r>
        <w:rPr>
          <w:rFonts w:ascii="AIGOCM+å®ä½" w:hAnsi="AIGOCM+å®ä½" w:eastAsia="Times New Roman" w:cs="AIGOCM+å®ä½"/>
          <w:color w:val="000000"/>
          <w:szCs w:val="22"/>
        </w:rPr>
        <w:t>高到低的顺序推荐中标候选人，并标明排序。</w:t>
      </w:r>
    </w:p>
    <w:p>
      <w:pPr>
        <w:spacing w:before="216" w:line="250" w:lineRule="exact"/>
        <w:ind w:left="480"/>
        <w:rPr>
          <w:rFonts w:hAnsi="Calibri" w:eastAsia="Times New Roman"/>
          <w:color w:val="000000"/>
          <w:szCs w:val="22"/>
        </w:rPr>
      </w:pPr>
      <w:r>
        <w:rPr>
          <w:rFonts w:ascii="EUGJBD+å®ä½" w:hAnsi="Calibri" w:eastAsia="Times New Roman"/>
          <w:color w:val="000000"/>
          <w:szCs w:val="22"/>
        </w:rPr>
        <w:t>3.8.2</w:t>
      </w:r>
      <w:r>
        <w:rPr>
          <w:rFonts w:ascii="AIGOCM+å®ä½" w:hAnsi="AIGOCM+å®ä½" w:eastAsia="Times New Roman" w:cs="AIGOCM+å®ä½"/>
          <w:color w:val="000000"/>
          <w:szCs w:val="22"/>
        </w:rPr>
        <w:t>评标委员会完成评标后，应向招标人提交书面评标报告。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UBGKU+é»ä½">
    <w:altName w:val="Segoe Print"/>
    <w:panose1 w:val="02010609060101010101"/>
    <w:charset w:val="01"/>
    <w:family w:val="modern"/>
    <w:pitch w:val="default"/>
    <w:sig w:usb0="00000000" w:usb1="00000000" w:usb2="01010101" w:usb3="01010101" w:csb0="01010101" w:csb1="01010101"/>
  </w:font>
  <w:font w:name="CJCNJB+å®ä½">
    <w:altName w:val="Segoe Print"/>
    <w:panose1 w:val="02010600030101010101"/>
    <w:charset w:val="01"/>
    <w:family w:val="auto"/>
    <w:pitch w:val="default"/>
    <w:sig w:usb0="00000000" w:usb1="00000000" w:usb2="01010101" w:usb3="01010101" w:csb0="01010101" w:csb1="01010101"/>
  </w:font>
  <w:font w:name="DKLUMU+å®ä½">
    <w:altName w:val="Segoe Print"/>
    <w:panose1 w:val="02010600030101010101"/>
    <w:charset w:val="01"/>
    <w:family w:val="auto"/>
    <w:pitch w:val="default"/>
    <w:sig w:usb0="00000000" w:usb1="00000000" w:usb2="01010101" w:usb3="01010101" w:csb0="01010101" w:csb1="01010101"/>
  </w:font>
  <w:font w:name="KMKPEE+å®ä½">
    <w:altName w:val="Segoe Print"/>
    <w:panose1 w:val="02010600030101010101"/>
    <w:charset w:val="01"/>
    <w:family w:val="auto"/>
    <w:pitch w:val="default"/>
    <w:sig w:usb0="00000000" w:usb1="00000000" w:usb2="01010101" w:usb3="01010101" w:csb0="01010101" w:csb1="01010101"/>
  </w:font>
  <w:font w:name="AVSFKM+å®ä½">
    <w:altName w:val="Segoe Print"/>
    <w:panose1 w:val="02010600030101010101"/>
    <w:charset w:val="01"/>
    <w:family w:val="auto"/>
    <w:pitch w:val="default"/>
    <w:sig w:usb0="00000000" w:usb1="00000000" w:usb2="01010101" w:usb3="01010101" w:csb0="01010101" w:csb1="01010101"/>
  </w:font>
  <w:font w:name="EHEDNR+å®ä½">
    <w:altName w:val="Segoe Print"/>
    <w:panose1 w:val="02010600030101010101"/>
    <w:charset w:val="01"/>
    <w:family w:val="auto"/>
    <w:pitch w:val="default"/>
    <w:sig w:usb0="00000000" w:usb1="00000000" w:usb2="01010101" w:usb3="01010101" w:csb0="01010101" w:csb1="01010101"/>
  </w:font>
  <w:font w:name="GSUBJR+å®ä½">
    <w:altName w:val="Segoe Print"/>
    <w:panose1 w:val="02010600030101010101"/>
    <w:charset w:val="01"/>
    <w:family w:val="auto"/>
    <w:pitch w:val="default"/>
    <w:sig w:usb0="00000000" w:usb1="00000000" w:usb2="01010101" w:usb3="01010101" w:csb0="01010101" w:csb1="01010101"/>
  </w:font>
  <w:font w:name="LUIWBT+å®ä½">
    <w:altName w:val="Segoe Print"/>
    <w:panose1 w:val="02010600030101010101"/>
    <w:charset w:val="01"/>
    <w:family w:val="auto"/>
    <w:pitch w:val="default"/>
    <w:sig w:usb0="00000000" w:usb1="00000000" w:usb2="01010101" w:usb3="01010101" w:csb0="01010101" w:csb1="01010101"/>
  </w:font>
  <w:font w:name="HNNKJN+å®ä½">
    <w:altName w:val="Segoe Print"/>
    <w:panose1 w:val="02010600030101010101"/>
    <w:charset w:val="01"/>
    <w:family w:val="auto"/>
    <w:pitch w:val="default"/>
    <w:sig w:usb0="00000000" w:usb1="00000000" w:usb2="01010101" w:usb3="01010101" w:csb0="01010101" w:csb1="01010101"/>
  </w:font>
  <w:font w:name="VTRUDU+å®ä½">
    <w:altName w:val="Segoe Print"/>
    <w:panose1 w:val="02010600030101010101"/>
    <w:charset w:val="01"/>
    <w:family w:val="auto"/>
    <w:pitch w:val="default"/>
    <w:sig w:usb0="00000000" w:usb1="00000000" w:usb2="01010101" w:usb3="01010101" w:csb0="01010101" w:csb1="01010101"/>
  </w:font>
  <w:font w:name="CAJPUU+å®ä½">
    <w:altName w:val="Segoe Print"/>
    <w:panose1 w:val="02010600030101010101"/>
    <w:charset w:val="01"/>
    <w:family w:val="auto"/>
    <w:pitch w:val="default"/>
    <w:sig w:usb0="00000000" w:usb1="00000000" w:usb2="01010101" w:usb3="01010101" w:csb0="01010101" w:csb1="01010101"/>
  </w:font>
  <w:font w:name="VRONMH+å®ä½">
    <w:altName w:val="Segoe Print"/>
    <w:panose1 w:val="02010600030101010101"/>
    <w:charset w:val="01"/>
    <w:family w:val="auto"/>
    <w:pitch w:val="default"/>
    <w:sig w:usb0="00000000" w:usb1="00000000" w:usb2="01010101" w:usb3="01010101" w:csb0="01010101" w:csb1="01010101"/>
  </w:font>
  <w:font w:name="NCKLGB+å®ä½">
    <w:altName w:val="Segoe Print"/>
    <w:panose1 w:val="02010600030101010101"/>
    <w:charset w:val="01"/>
    <w:family w:val="auto"/>
    <w:pitch w:val="default"/>
    <w:sig w:usb0="00000000" w:usb1="00000000" w:usb2="01010101" w:usb3="01010101" w:csb0="01010101" w:csb1="01010101"/>
  </w:font>
  <w:font w:name="IUOKUJ+å®ä½">
    <w:altName w:val="Segoe Print"/>
    <w:panose1 w:val="02010600030101010101"/>
    <w:charset w:val="01"/>
    <w:family w:val="auto"/>
    <w:pitch w:val="default"/>
    <w:sig w:usb0="00000000" w:usb1="00000000" w:usb2="01010101" w:usb3="01010101" w:csb0="01010101" w:csb1="01010101"/>
  </w:font>
  <w:font w:name="QODODJ+é»ä½">
    <w:altName w:val="Segoe Print"/>
    <w:panose1 w:val="02010609060101010101"/>
    <w:charset w:val="01"/>
    <w:family w:val="modern"/>
    <w:pitch w:val="default"/>
    <w:sig w:usb0="00000000" w:usb1="00000000" w:usb2="01010101" w:usb3="01010101" w:csb0="01010101" w:csb1="01010101"/>
  </w:font>
  <w:font w:name="BKBKCR+å®ä½">
    <w:altName w:val="Segoe Print"/>
    <w:panose1 w:val="02010600030101010101"/>
    <w:charset w:val="01"/>
    <w:family w:val="auto"/>
    <w:pitch w:val="default"/>
    <w:sig w:usb0="00000000" w:usb1="00000000" w:usb2="01010101" w:usb3="01010101" w:csb0="01010101" w:csb1="01010101"/>
  </w:font>
  <w:font w:name="NLTSGJ+å®ä½">
    <w:altName w:val="Segoe Print"/>
    <w:panose1 w:val="02010600030101010101"/>
    <w:charset w:val="01"/>
    <w:family w:val="auto"/>
    <w:pitch w:val="default"/>
    <w:sig w:usb0="00000000" w:usb1="00000000" w:usb2="01010101" w:usb3="01010101" w:csb0="01010101" w:csb1="01010101"/>
  </w:font>
  <w:font w:name="AVGNIO+å®ä½">
    <w:altName w:val="Segoe Print"/>
    <w:panose1 w:val="02010600030101010101"/>
    <w:charset w:val="01"/>
    <w:family w:val="auto"/>
    <w:pitch w:val="default"/>
    <w:sig w:usb0="00000000" w:usb1="00000000" w:usb2="01010101" w:usb3="01010101" w:csb0="01010101" w:csb1="01010101"/>
  </w:font>
  <w:font w:name="IJTADT+å®ä½">
    <w:altName w:val="Segoe Print"/>
    <w:panose1 w:val="02010600030101010101"/>
    <w:charset w:val="01"/>
    <w:family w:val="auto"/>
    <w:pitch w:val="default"/>
    <w:sig w:usb0="00000000" w:usb1="00000000" w:usb2="01010101" w:usb3="01010101" w:csb0="01010101" w:csb1="01010101"/>
  </w:font>
  <w:font w:name="VQBRAD+å®ä½">
    <w:altName w:val="Segoe Print"/>
    <w:panose1 w:val="02010600030101010101"/>
    <w:charset w:val="01"/>
    <w:family w:val="auto"/>
    <w:pitch w:val="default"/>
    <w:sig w:usb0="00000000" w:usb1="00000000" w:usb2="01010101" w:usb3="01010101" w:csb0="01010101" w:csb1="01010101"/>
  </w:font>
  <w:font w:name="UWLEBI+å®ä½">
    <w:altName w:val="Segoe Print"/>
    <w:panose1 w:val="02010600030101010101"/>
    <w:charset w:val="01"/>
    <w:family w:val="auto"/>
    <w:pitch w:val="default"/>
    <w:sig w:usb0="00000000" w:usb1="00000000" w:usb2="01010101" w:usb3="01010101" w:csb0="01010101" w:csb1="01010101"/>
  </w:font>
  <w:font w:name="JOEKHD+å®ä½">
    <w:altName w:val="Segoe Print"/>
    <w:panose1 w:val="02010600030101010101"/>
    <w:charset w:val="01"/>
    <w:family w:val="auto"/>
    <w:pitch w:val="default"/>
    <w:sig w:usb0="00000000" w:usb1="00000000" w:usb2="01010101" w:usb3="01010101" w:csb0="01010101" w:csb1="01010101"/>
  </w:font>
  <w:font w:name="AIGOCM+å®ä½">
    <w:altName w:val="Segoe Print"/>
    <w:panose1 w:val="02010600030101010101"/>
    <w:charset w:val="01"/>
    <w:family w:val="auto"/>
    <w:pitch w:val="default"/>
    <w:sig w:usb0="00000000" w:usb1="00000000" w:usb2="01010101" w:usb3="01010101" w:csb0="01010101" w:csb1="01010101"/>
  </w:font>
  <w:font w:name="EUGJBD+å®ä½">
    <w:altName w:val="Segoe Print"/>
    <w:panose1 w:val="02010600030101010101"/>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OTYyNjAzMDhhYmQ2NzIwMDgwOTMxOTM4ZGE4YTgifQ=="/>
  </w:docVars>
  <w:rsids>
    <w:rsidRoot w:val="284E6483"/>
    <w:rsid w:val="284E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2024-03-29T07:25:00Z</dcterms:created>
  <dc:creator>because of you</dc:creator>
  <cp:lastModifiedBy>because of you</cp:lastModifiedBy>
  <dcterms:modified xsi:type="dcterms:W3CDTF">2024-03-29T07:35:42Z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7EE7332B5D9F49EE9CC0E2401F35D4F8_11</vt:lpwstr>
  </property>
</Properties>
</file>