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D07738">
      <w:pPr>
        <w:pStyle w:val="2"/>
        <w:keepNext/>
        <w:keepLines/>
        <w:pageBreakBefore w:val="0"/>
        <w:widowControl w:val="0"/>
        <w:kinsoku/>
        <w:wordWrap w:val="0"/>
        <w:overflowPunct/>
        <w:topLinePunct w:val="0"/>
        <w:autoSpaceDE/>
        <w:autoSpaceDN/>
        <w:bidi w:val="0"/>
        <w:adjustRightInd/>
        <w:snapToGrid/>
        <w:spacing w:before="0" w:after="0" w:line="340" w:lineRule="atLeast"/>
        <w:jc w:val="center"/>
        <w:textAlignment w:val="auto"/>
        <w:rPr>
          <w:rFonts w:hint="default" w:ascii="Times New Roman" w:hAnsi="Times New Roman" w:eastAsia="黑体" w:cs="Times New Roman"/>
          <w:b w:val="0"/>
          <w:color w:val="000000" w:themeColor="text1"/>
          <w:sz w:val="36"/>
          <w:szCs w:val="36"/>
          <w:highlight w:val="none"/>
          <w14:textFill>
            <w14:solidFill>
              <w14:schemeClr w14:val="tx1"/>
            </w14:solidFill>
          </w14:textFill>
        </w:rPr>
      </w:pPr>
      <w:bookmarkStart w:id="0" w:name="_Toc16309"/>
      <w:bookmarkStart w:id="1" w:name="_Toc18149"/>
      <w:bookmarkStart w:id="2" w:name="_Toc6815"/>
      <w:bookmarkStart w:id="3" w:name="_Toc234832942"/>
      <w:r>
        <w:rPr>
          <w:rFonts w:hint="default" w:ascii="Times New Roman" w:hAnsi="Times New Roman" w:eastAsia="黑体" w:cs="Times New Roman"/>
          <w:b w:val="0"/>
          <w:color w:val="000000" w:themeColor="text1"/>
          <w:sz w:val="36"/>
          <w:szCs w:val="36"/>
          <w:highlight w:val="none"/>
          <w14:textFill>
            <w14:solidFill>
              <w14:schemeClr w14:val="tx1"/>
            </w14:solidFill>
          </w14:textFill>
        </w:rPr>
        <w:t>第三章  评标办法（技术评分</w:t>
      </w:r>
      <w:r>
        <w:rPr>
          <w:rFonts w:hint="eastAsia" w:cs="Times New Roman"/>
          <w:b w:val="0"/>
          <w:color w:val="000000" w:themeColor="text1"/>
          <w:sz w:val="36"/>
          <w:szCs w:val="36"/>
          <w:highlight w:val="none"/>
          <w:lang w:val="en-US" w:eastAsia="zh-CN"/>
          <w14:textFill>
            <w14:solidFill>
              <w14:schemeClr w14:val="tx1"/>
            </w14:solidFill>
          </w14:textFill>
        </w:rPr>
        <w:t>合理</w:t>
      </w:r>
      <w:r>
        <w:rPr>
          <w:rFonts w:hint="default" w:ascii="Times New Roman" w:hAnsi="Times New Roman" w:eastAsia="黑体" w:cs="Times New Roman"/>
          <w:b w:val="0"/>
          <w:color w:val="000000" w:themeColor="text1"/>
          <w:sz w:val="36"/>
          <w:szCs w:val="36"/>
          <w:highlight w:val="none"/>
          <w14:textFill>
            <w14:solidFill>
              <w14:schemeClr w14:val="tx1"/>
            </w14:solidFill>
          </w14:textFill>
        </w:rPr>
        <w:t>低价法）</w:t>
      </w:r>
      <w:bookmarkEnd w:id="0"/>
      <w:bookmarkEnd w:id="1"/>
      <w:bookmarkEnd w:id="2"/>
    </w:p>
    <w:p w14:paraId="5D10EA33">
      <w:pPr>
        <w:pStyle w:val="2"/>
        <w:pageBreakBefore w:val="0"/>
        <w:kinsoku/>
        <w:wordWrap w:val="0"/>
        <w:bidi w:val="0"/>
        <w:spacing w:before="480" w:after="240" w:line="380" w:lineRule="atLeast"/>
        <w:outlineLvl w:val="1"/>
        <w:rPr>
          <w:rFonts w:hint="default" w:ascii="Times New Roman" w:hAnsi="Times New Roman" w:eastAsia="黑体" w:cs="Times New Roman"/>
          <w:b w:val="0"/>
          <w:color w:val="000000" w:themeColor="text1"/>
          <w:sz w:val="24"/>
          <w:szCs w:val="24"/>
          <w:highlight w:val="none"/>
          <w14:textFill>
            <w14:solidFill>
              <w14:schemeClr w14:val="tx1"/>
            </w14:solidFill>
          </w14:textFill>
        </w:rPr>
      </w:pPr>
      <w:bookmarkStart w:id="4" w:name="_Toc31426"/>
      <w:bookmarkStart w:id="5" w:name="_Toc3851"/>
      <w:bookmarkStart w:id="6" w:name="_Toc13786"/>
      <w:r>
        <w:rPr>
          <w:rFonts w:hint="default" w:ascii="Times New Roman" w:hAnsi="Times New Roman" w:eastAsia="黑体" w:cs="Times New Roman"/>
          <w:b w:val="0"/>
          <w:color w:val="000000" w:themeColor="text1"/>
          <w:sz w:val="24"/>
          <w:szCs w:val="24"/>
          <w:highlight w:val="none"/>
          <w14:textFill>
            <w14:solidFill>
              <w14:schemeClr w14:val="tx1"/>
            </w14:solidFill>
          </w14:textFill>
        </w:rPr>
        <w:t>评标办法前附表</w:t>
      </w:r>
      <w:bookmarkEnd w:id="4"/>
      <w:bookmarkEnd w:id="5"/>
      <w:bookmarkEnd w:id="6"/>
    </w:p>
    <w:tbl>
      <w:tblPr>
        <w:tblStyle w:val="7"/>
        <w:tblW w:w="918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9"/>
        <w:gridCol w:w="788"/>
        <w:gridCol w:w="7462"/>
      </w:tblGrid>
      <w:tr w14:paraId="6468C1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trPr>
        <w:tc>
          <w:tcPr>
            <w:tcW w:w="1727" w:type="dxa"/>
            <w:gridSpan w:val="2"/>
            <w:tcBorders>
              <w:top w:val="single" w:color="auto" w:sz="4" w:space="0"/>
              <w:bottom w:val="single" w:color="auto" w:sz="4" w:space="0"/>
              <w:right w:val="single" w:color="auto" w:sz="4" w:space="0"/>
            </w:tcBorders>
            <w:noWrap w:val="0"/>
            <w:vAlign w:val="center"/>
          </w:tcPr>
          <w:p w14:paraId="2F8693BB">
            <w:pPr>
              <w:pageBreakBefore w:val="0"/>
              <w:kinsoku/>
              <w:wordWrap w:val="0"/>
              <w:bidi w:val="0"/>
              <w:spacing w:line="380" w:lineRule="atLeast"/>
              <w:jc w:val="center"/>
              <w:rPr>
                <w:rFonts w:hint="default" w:ascii="Times New Roman" w:hAnsi="Times New Roman" w:cs="Times New Roman"/>
                <w:b/>
                <w:color w:val="000000" w:themeColor="text1"/>
                <w:szCs w:val="21"/>
                <w:highlight w:val="none"/>
                <w14:textFill>
                  <w14:solidFill>
                    <w14:schemeClr w14:val="tx1"/>
                  </w14:solidFill>
                </w14:textFill>
              </w:rPr>
            </w:pPr>
            <w:r>
              <w:rPr>
                <w:rFonts w:hint="default" w:ascii="Times New Roman" w:hAnsi="Times New Roman" w:cs="Times New Roman"/>
                <w:b/>
                <w:color w:val="000000" w:themeColor="text1"/>
                <w:szCs w:val="21"/>
                <w:highlight w:val="none"/>
                <w14:textFill>
                  <w14:solidFill>
                    <w14:schemeClr w14:val="tx1"/>
                  </w14:solidFill>
                </w14:textFill>
              </w:rPr>
              <w:t>条款号</w:t>
            </w:r>
          </w:p>
        </w:tc>
        <w:tc>
          <w:tcPr>
            <w:tcW w:w="7462" w:type="dxa"/>
            <w:tcBorders>
              <w:top w:val="single" w:color="auto" w:sz="4" w:space="0"/>
              <w:left w:val="single" w:color="auto" w:sz="4" w:space="0"/>
              <w:bottom w:val="single" w:color="auto" w:sz="4" w:space="0"/>
              <w:right w:val="single" w:color="auto" w:sz="4" w:space="0"/>
            </w:tcBorders>
            <w:noWrap w:val="0"/>
            <w:vAlign w:val="center"/>
          </w:tcPr>
          <w:p w14:paraId="53D2A1D4">
            <w:pPr>
              <w:pageBreakBefore w:val="0"/>
              <w:kinsoku/>
              <w:wordWrap w:val="0"/>
              <w:bidi w:val="0"/>
              <w:spacing w:line="380" w:lineRule="atLeast"/>
              <w:jc w:val="center"/>
              <w:rPr>
                <w:rFonts w:hint="default" w:ascii="Times New Roman" w:hAnsi="Times New Roman" w:cs="Times New Roman"/>
                <w:b/>
                <w:color w:val="000000" w:themeColor="text1"/>
                <w:spacing w:val="4"/>
                <w:szCs w:val="21"/>
                <w:highlight w:val="none"/>
                <w14:textFill>
                  <w14:solidFill>
                    <w14:schemeClr w14:val="tx1"/>
                  </w14:solidFill>
                </w14:textFill>
              </w:rPr>
            </w:pPr>
            <w:r>
              <w:rPr>
                <w:rFonts w:hint="default" w:ascii="Times New Roman" w:hAnsi="Times New Roman" w:cs="Times New Roman"/>
                <w:b/>
                <w:color w:val="000000" w:themeColor="text1"/>
                <w:spacing w:val="4"/>
                <w:szCs w:val="21"/>
                <w:highlight w:val="none"/>
                <w14:textFill>
                  <w14:solidFill>
                    <w14:schemeClr w14:val="tx1"/>
                  </w14:solidFill>
                </w14:textFill>
              </w:rPr>
              <w:t>评审因素与评审标准</w:t>
            </w:r>
          </w:p>
        </w:tc>
      </w:tr>
      <w:tr w14:paraId="33E17F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39" w:type="dxa"/>
            <w:tcBorders>
              <w:top w:val="single" w:color="auto" w:sz="4" w:space="0"/>
              <w:right w:val="single" w:color="auto" w:sz="4" w:space="0"/>
            </w:tcBorders>
            <w:noWrap w:val="0"/>
            <w:vAlign w:val="top"/>
          </w:tcPr>
          <w:p w14:paraId="4A3CCB2A">
            <w:pPr>
              <w:spacing w:line="247" w:lineRule="auto"/>
              <w:rPr>
                <w:rFonts w:ascii="Arial"/>
                <w:color w:val="000000" w:themeColor="text1"/>
                <w:sz w:val="24"/>
                <w:szCs w:val="24"/>
                <w:highlight w:val="none"/>
                <w14:textFill>
                  <w14:solidFill>
                    <w14:schemeClr w14:val="tx1"/>
                  </w14:solidFill>
                </w14:textFill>
              </w:rPr>
            </w:pPr>
          </w:p>
          <w:p w14:paraId="4E59D6D4">
            <w:pPr>
              <w:spacing w:line="247" w:lineRule="auto"/>
              <w:rPr>
                <w:rFonts w:ascii="Arial"/>
                <w:color w:val="000000" w:themeColor="text1"/>
                <w:sz w:val="24"/>
                <w:szCs w:val="24"/>
                <w:highlight w:val="none"/>
                <w14:textFill>
                  <w14:solidFill>
                    <w14:schemeClr w14:val="tx1"/>
                  </w14:solidFill>
                </w14:textFill>
              </w:rPr>
            </w:pPr>
          </w:p>
          <w:p w14:paraId="2038BAA7">
            <w:pPr>
              <w:spacing w:line="247" w:lineRule="auto"/>
              <w:rPr>
                <w:rFonts w:ascii="Arial"/>
                <w:color w:val="000000" w:themeColor="text1"/>
                <w:sz w:val="24"/>
                <w:szCs w:val="24"/>
                <w:highlight w:val="none"/>
                <w14:textFill>
                  <w14:solidFill>
                    <w14:schemeClr w14:val="tx1"/>
                  </w14:solidFill>
                </w14:textFill>
              </w:rPr>
            </w:pPr>
          </w:p>
          <w:p w14:paraId="5EE71EEB">
            <w:pPr>
              <w:spacing w:line="247" w:lineRule="auto"/>
              <w:rPr>
                <w:rFonts w:ascii="Arial"/>
                <w:color w:val="000000" w:themeColor="text1"/>
                <w:sz w:val="24"/>
                <w:szCs w:val="24"/>
                <w:highlight w:val="none"/>
                <w14:textFill>
                  <w14:solidFill>
                    <w14:schemeClr w14:val="tx1"/>
                  </w14:solidFill>
                </w14:textFill>
              </w:rPr>
            </w:pPr>
          </w:p>
          <w:p w14:paraId="7BEC7E24">
            <w:pPr>
              <w:spacing w:line="247" w:lineRule="auto"/>
              <w:rPr>
                <w:rFonts w:ascii="Arial"/>
                <w:color w:val="000000" w:themeColor="text1"/>
                <w:sz w:val="24"/>
                <w:szCs w:val="24"/>
                <w:highlight w:val="none"/>
                <w14:textFill>
                  <w14:solidFill>
                    <w14:schemeClr w14:val="tx1"/>
                  </w14:solidFill>
                </w14:textFill>
              </w:rPr>
            </w:pPr>
          </w:p>
          <w:p w14:paraId="1850BD33">
            <w:pPr>
              <w:spacing w:line="247" w:lineRule="auto"/>
              <w:rPr>
                <w:rFonts w:ascii="Arial"/>
                <w:color w:val="000000" w:themeColor="text1"/>
                <w:sz w:val="24"/>
                <w:szCs w:val="24"/>
                <w:highlight w:val="none"/>
                <w14:textFill>
                  <w14:solidFill>
                    <w14:schemeClr w14:val="tx1"/>
                  </w14:solidFill>
                </w14:textFill>
              </w:rPr>
            </w:pPr>
          </w:p>
          <w:p w14:paraId="79F55686">
            <w:pPr>
              <w:spacing w:line="247" w:lineRule="auto"/>
              <w:rPr>
                <w:rFonts w:ascii="Arial"/>
                <w:color w:val="000000" w:themeColor="text1"/>
                <w:sz w:val="24"/>
                <w:szCs w:val="24"/>
                <w:highlight w:val="none"/>
                <w14:textFill>
                  <w14:solidFill>
                    <w14:schemeClr w14:val="tx1"/>
                  </w14:solidFill>
                </w14:textFill>
              </w:rPr>
            </w:pPr>
          </w:p>
          <w:p w14:paraId="1D98C8BA">
            <w:pPr>
              <w:spacing w:line="247" w:lineRule="auto"/>
              <w:rPr>
                <w:rFonts w:ascii="Arial"/>
                <w:color w:val="000000" w:themeColor="text1"/>
                <w:sz w:val="24"/>
                <w:szCs w:val="24"/>
                <w:highlight w:val="none"/>
                <w14:textFill>
                  <w14:solidFill>
                    <w14:schemeClr w14:val="tx1"/>
                  </w14:solidFill>
                </w14:textFill>
              </w:rPr>
            </w:pPr>
          </w:p>
          <w:p w14:paraId="3EF53F4E">
            <w:pPr>
              <w:spacing w:line="247" w:lineRule="auto"/>
              <w:rPr>
                <w:rFonts w:ascii="Arial"/>
                <w:color w:val="000000" w:themeColor="text1"/>
                <w:sz w:val="24"/>
                <w:szCs w:val="24"/>
                <w:highlight w:val="none"/>
                <w14:textFill>
                  <w14:solidFill>
                    <w14:schemeClr w14:val="tx1"/>
                  </w14:solidFill>
                </w14:textFill>
              </w:rPr>
            </w:pPr>
          </w:p>
          <w:p w14:paraId="0ACA1373">
            <w:pPr>
              <w:spacing w:line="247" w:lineRule="auto"/>
              <w:rPr>
                <w:rFonts w:ascii="Arial"/>
                <w:color w:val="000000" w:themeColor="text1"/>
                <w:sz w:val="24"/>
                <w:szCs w:val="24"/>
                <w:highlight w:val="none"/>
                <w14:textFill>
                  <w14:solidFill>
                    <w14:schemeClr w14:val="tx1"/>
                  </w14:solidFill>
                </w14:textFill>
              </w:rPr>
            </w:pPr>
          </w:p>
          <w:p w14:paraId="3BBE1C63">
            <w:pPr>
              <w:spacing w:line="247" w:lineRule="auto"/>
              <w:rPr>
                <w:rFonts w:ascii="Arial"/>
                <w:color w:val="000000" w:themeColor="text1"/>
                <w:sz w:val="24"/>
                <w:szCs w:val="24"/>
                <w:highlight w:val="none"/>
                <w14:textFill>
                  <w14:solidFill>
                    <w14:schemeClr w14:val="tx1"/>
                  </w14:solidFill>
                </w14:textFill>
              </w:rPr>
            </w:pPr>
          </w:p>
          <w:p w14:paraId="7C090240">
            <w:pPr>
              <w:spacing w:line="248" w:lineRule="auto"/>
              <w:rPr>
                <w:rFonts w:ascii="Arial"/>
                <w:color w:val="000000" w:themeColor="text1"/>
                <w:sz w:val="24"/>
                <w:szCs w:val="24"/>
                <w:highlight w:val="none"/>
                <w14:textFill>
                  <w14:solidFill>
                    <w14:schemeClr w14:val="tx1"/>
                  </w14:solidFill>
                </w14:textFill>
              </w:rPr>
            </w:pPr>
          </w:p>
          <w:p w14:paraId="3583363C">
            <w:pPr>
              <w:spacing w:line="248" w:lineRule="auto"/>
              <w:rPr>
                <w:rFonts w:ascii="Arial"/>
                <w:color w:val="000000" w:themeColor="text1"/>
                <w:sz w:val="24"/>
                <w:szCs w:val="24"/>
                <w:highlight w:val="none"/>
                <w14:textFill>
                  <w14:solidFill>
                    <w14:schemeClr w14:val="tx1"/>
                  </w14:solidFill>
                </w14:textFill>
              </w:rPr>
            </w:pPr>
          </w:p>
          <w:p w14:paraId="6E52844B">
            <w:pPr>
              <w:spacing w:line="248" w:lineRule="auto"/>
              <w:rPr>
                <w:rFonts w:ascii="Arial"/>
                <w:color w:val="000000" w:themeColor="text1"/>
                <w:sz w:val="24"/>
                <w:szCs w:val="24"/>
                <w:highlight w:val="none"/>
                <w14:textFill>
                  <w14:solidFill>
                    <w14:schemeClr w14:val="tx1"/>
                  </w14:solidFill>
                </w14:textFill>
              </w:rPr>
            </w:pPr>
          </w:p>
          <w:p w14:paraId="46CF27BF">
            <w:pPr>
              <w:spacing w:line="248" w:lineRule="auto"/>
              <w:rPr>
                <w:rFonts w:ascii="Arial"/>
                <w:color w:val="000000" w:themeColor="text1"/>
                <w:sz w:val="24"/>
                <w:szCs w:val="24"/>
                <w:highlight w:val="none"/>
                <w14:textFill>
                  <w14:solidFill>
                    <w14:schemeClr w14:val="tx1"/>
                  </w14:solidFill>
                </w14:textFill>
              </w:rPr>
            </w:pPr>
          </w:p>
          <w:p w14:paraId="4869798F">
            <w:pPr>
              <w:spacing w:line="248" w:lineRule="auto"/>
              <w:rPr>
                <w:rFonts w:ascii="Arial"/>
                <w:color w:val="000000" w:themeColor="text1"/>
                <w:sz w:val="24"/>
                <w:szCs w:val="24"/>
                <w:highlight w:val="none"/>
                <w14:textFill>
                  <w14:solidFill>
                    <w14:schemeClr w14:val="tx1"/>
                  </w14:solidFill>
                </w14:textFill>
              </w:rPr>
            </w:pPr>
          </w:p>
          <w:p w14:paraId="7BBC590A">
            <w:pPr>
              <w:spacing w:line="248" w:lineRule="auto"/>
              <w:rPr>
                <w:rFonts w:ascii="Arial"/>
                <w:color w:val="000000" w:themeColor="text1"/>
                <w:sz w:val="24"/>
                <w:szCs w:val="24"/>
                <w:highlight w:val="none"/>
                <w14:textFill>
                  <w14:solidFill>
                    <w14:schemeClr w14:val="tx1"/>
                  </w14:solidFill>
                </w14:textFill>
              </w:rPr>
            </w:pPr>
          </w:p>
          <w:p w14:paraId="5F93D6D4">
            <w:pPr>
              <w:spacing w:line="248" w:lineRule="auto"/>
              <w:rPr>
                <w:rFonts w:ascii="Arial"/>
                <w:color w:val="000000" w:themeColor="text1"/>
                <w:sz w:val="24"/>
                <w:szCs w:val="24"/>
                <w:highlight w:val="none"/>
                <w14:textFill>
                  <w14:solidFill>
                    <w14:schemeClr w14:val="tx1"/>
                  </w14:solidFill>
                </w14:textFill>
              </w:rPr>
            </w:pPr>
          </w:p>
          <w:p w14:paraId="5EB04C6B">
            <w:pPr>
              <w:spacing w:line="248" w:lineRule="auto"/>
              <w:rPr>
                <w:rFonts w:ascii="Arial"/>
                <w:color w:val="000000" w:themeColor="text1"/>
                <w:sz w:val="24"/>
                <w:szCs w:val="24"/>
                <w:highlight w:val="none"/>
                <w14:textFill>
                  <w14:solidFill>
                    <w14:schemeClr w14:val="tx1"/>
                  </w14:solidFill>
                </w14:textFill>
              </w:rPr>
            </w:pPr>
          </w:p>
          <w:p w14:paraId="106B2543">
            <w:pPr>
              <w:spacing w:line="248" w:lineRule="auto"/>
              <w:rPr>
                <w:rFonts w:ascii="Arial"/>
                <w:color w:val="000000" w:themeColor="text1"/>
                <w:sz w:val="24"/>
                <w:szCs w:val="24"/>
                <w:highlight w:val="none"/>
                <w14:textFill>
                  <w14:solidFill>
                    <w14:schemeClr w14:val="tx1"/>
                  </w14:solidFill>
                </w14:textFill>
              </w:rPr>
            </w:pPr>
          </w:p>
          <w:p w14:paraId="707C0421">
            <w:pPr>
              <w:pStyle w:val="11"/>
              <w:spacing w:before="72" w:line="239" w:lineRule="auto"/>
              <w:ind w:left="55"/>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2.1.1</w:t>
            </w:r>
          </w:p>
          <w:p w14:paraId="5CA7C8F1">
            <w:pPr>
              <w:pStyle w:val="11"/>
              <w:spacing w:before="165" w:line="239" w:lineRule="auto"/>
              <w:ind w:left="55" w:leftChars="0"/>
              <w:rPr>
                <w:rFonts w:hint="default" w:ascii="Times New Roman" w:hAnsi="Times New Roman" w:cs="Times New Roman"/>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2.1.3</w:t>
            </w:r>
          </w:p>
        </w:tc>
        <w:tc>
          <w:tcPr>
            <w:tcW w:w="788" w:type="dxa"/>
            <w:tcBorders>
              <w:top w:val="single" w:color="auto" w:sz="4" w:space="0"/>
              <w:bottom w:val="single" w:color="auto" w:sz="4" w:space="0"/>
              <w:right w:val="single" w:color="auto" w:sz="4" w:space="0"/>
            </w:tcBorders>
            <w:noWrap w:val="0"/>
            <w:vAlign w:val="top"/>
          </w:tcPr>
          <w:p w14:paraId="6F0960EF">
            <w:pPr>
              <w:spacing w:line="251" w:lineRule="auto"/>
              <w:rPr>
                <w:rFonts w:ascii="Arial"/>
                <w:color w:val="000000" w:themeColor="text1"/>
                <w:sz w:val="24"/>
                <w:szCs w:val="24"/>
                <w:highlight w:val="none"/>
                <w14:textFill>
                  <w14:solidFill>
                    <w14:schemeClr w14:val="tx1"/>
                  </w14:solidFill>
                </w14:textFill>
              </w:rPr>
            </w:pPr>
          </w:p>
          <w:p w14:paraId="560E4E67">
            <w:pPr>
              <w:spacing w:line="251" w:lineRule="auto"/>
              <w:rPr>
                <w:rFonts w:ascii="Arial"/>
                <w:color w:val="000000" w:themeColor="text1"/>
                <w:sz w:val="24"/>
                <w:szCs w:val="24"/>
                <w:highlight w:val="none"/>
                <w14:textFill>
                  <w14:solidFill>
                    <w14:schemeClr w14:val="tx1"/>
                  </w14:solidFill>
                </w14:textFill>
              </w:rPr>
            </w:pPr>
          </w:p>
          <w:p w14:paraId="37D06AFF">
            <w:pPr>
              <w:spacing w:line="251" w:lineRule="auto"/>
              <w:rPr>
                <w:rFonts w:ascii="Arial"/>
                <w:color w:val="000000" w:themeColor="text1"/>
                <w:sz w:val="24"/>
                <w:szCs w:val="24"/>
                <w:highlight w:val="none"/>
                <w14:textFill>
                  <w14:solidFill>
                    <w14:schemeClr w14:val="tx1"/>
                  </w14:solidFill>
                </w14:textFill>
              </w:rPr>
            </w:pPr>
          </w:p>
          <w:p w14:paraId="73BF1B9C">
            <w:pPr>
              <w:spacing w:line="251" w:lineRule="auto"/>
              <w:rPr>
                <w:rFonts w:ascii="Arial"/>
                <w:color w:val="000000" w:themeColor="text1"/>
                <w:sz w:val="24"/>
                <w:szCs w:val="24"/>
                <w:highlight w:val="none"/>
                <w14:textFill>
                  <w14:solidFill>
                    <w14:schemeClr w14:val="tx1"/>
                  </w14:solidFill>
                </w14:textFill>
              </w:rPr>
            </w:pPr>
          </w:p>
          <w:p w14:paraId="2CC50513">
            <w:pPr>
              <w:spacing w:line="251" w:lineRule="auto"/>
              <w:rPr>
                <w:rFonts w:ascii="Arial"/>
                <w:color w:val="000000" w:themeColor="text1"/>
                <w:sz w:val="24"/>
                <w:szCs w:val="24"/>
                <w:highlight w:val="none"/>
                <w14:textFill>
                  <w14:solidFill>
                    <w14:schemeClr w14:val="tx1"/>
                  </w14:solidFill>
                </w14:textFill>
              </w:rPr>
            </w:pPr>
          </w:p>
          <w:p w14:paraId="5B87D49E">
            <w:pPr>
              <w:spacing w:line="251" w:lineRule="auto"/>
              <w:rPr>
                <w:rFonts w:ascii="Arial"/>
                <w:color w:val="000000" w:themeColor="text1"/>
                <w:sz w:val="24"/>
                <w:szCs w:val="24"/>
                <w:highlight w:val="none"/>
                <w14:textFill>
                  <w14:solidFill>
                    <w14:schemeClr w14:val="tx1"/>
                  </w14:solidFill>
                </w14:textFill>
              </w:rPr>
            </w:pPr>
          </w:p>
          <w:p w14:paraId="2923CE08">
            <w:pPr>
              <w:spacing w:line="251" w:lineRule="auto"/>
              <w:rPr>
                <w:rFonts w:ascii="Arial"/>
                <w:color w:val="000000" w:themeColor="text1"/>
                <w:sz w:val="24"/>
                <w:szCs w:val="24"/>
                <w:highlight w:val="none"/>
                <w14:textFill>
                  <w14:solidFill>
                    <w14:schemeClr w14:val="tx1"/>
                  </w14:solidFill>
                </w14:textFill>
              </w:rPr>
            </w:pPr>
          </w:p>
          <w:p w14:paraId="383CAC99">
            <w:pPr>
              <w:spacing w:line="251" w:lineRule="auto"/>
              <w:rPr>
                <w:rFonts w:ascii="Arial"/>
                <w:color w:val="000000" w:themeColor="text1"/>
                <w:sz w:val="24"/>
                <w:szCs w:val="24"/>
                <w:highlight w:val="none"/>
                <w14:textFill>
                  <w14:solidFill>
                    <w14:schemeClr w14:val="tx1"/>
                  </w14:solidFill>
                </w14:textFill>
              </w:rPr>
            </w:pPr>
          </w:p>
          <w:p w14:paraId="6F84D8CA">
            <w:pPr>
              <w:spacing w:line="252" w:lineRule="auto"/>
              <w:rPr>
                <w:rFonts w:ascii="Arial"/>
                <w:color w:val="000000" w:themeColor="text1"/>
                <w:sz w:val="24"/>
                <w:szCs w:val="24"/>
                <w:highlight w:val="none"/>
                <w14:textFill>
                  <w14:solidFill>
                    <w14:schemeClr w14:val="tx1"/>
                  </w14:solidFill>
                </w14:textFill>
              </w:rPr>
            </w:pPr>
          </w:p>
          <w:p w14:paraId="3FA379A8">
            <w:pPr>
              <w:spacing w:line="252" w:lineRule="auto"/>
              <w:rPr>
                <w:rFonts w:ascii="Arial"/>
                <w:color w:val="000000" w:themeColor="text1"/>
                <w:sz w:val="24"/>
                <w:szCs w:val="24"/>
                <w:highlight w:val="none"/>
                <w14:textFill>
                  <w14:solidFill>
                    <w14:schemeClr w14:val="tx1"/>
                  </w14:solidFill>
                </w14:textFill>
              </w:rPr>
            </w:pPr>
          </w:p>
          <w:p w14:paraId="53BBBB5A">
            <w:pPr>
              <w:spacing w:line="252" w:lineRule="auto"/>
              <w:rPr>
                <w:rFonts w:ascii="Arial"/>
                <w:color w:val="000000" w:themeColor="text1"/>
                <w:sz w:val="24"/>
                <w:szCs w:val="24"/>
                <w:highlight w:val="none"/>
                <w14:textFill>
                  <w14:solidFill>
                    <w14:schemeClr w14:val="tx1"/>
                  </w14:solidFill>
                </w14:textFill>
              </w:rPr>
            </w:pPr>
          </w:p>
          <w:p w14:paraId="249DBA57">
            <w:pPr>
              <w:spacing w:line="252" w:lineRule="auto"/>
              <w:rPr>
                <w:rFonts w:ascii="Arial"/>
                <w:color w:val="000000" w:themeColor="text1"/>
                <w:sz w:val="24"/>
                <w:szCs w:val="24"/>
                <w:highlight w:val="none"/>
                <w14:textFill>
                  <w14:solidFill>
                    <w14:schemeClr w14:val="tx1"/>
                  </w14:solidFill>
                </w14:textFill>
              </w:rPr>
            </w:pPr>
          </w:p>
          <w:p w14:paraId="16FE0A61">
            <w:pPr>
              <w:spacing w:line="252" w:lineRule="auto"/>
              <w:rPr>
                <w:rFonts w:ascii="Arial"/>
                <w:color w:val="000000" w:themeColor="text1"/>
                <w:sz w:val="24"/>
                <w:szCs w:val="24"/>
                <w:highlight w:val="none"/>
                <w14:textFill>
                  <w14:solidFill>
                    <w14:schemeClr w14:val="tx1"/>
                  </w14:solidFill>
                </w14:textFill>
              </w:rPr>
            </w:pPr>
          </w:p>
          <w:p w14:paraId="67D211D1">
            <w:pPr>
              <w:spacing w:line="252" w:lineRule="auto"/>
              <w:rPr>
                <w:rFonts w:ascii="Arial"/>
                <w:color w:val="000000" w:themeColor="text1"/>
                <w:sz w:val="24"/>
                <w:szCs w:val="24"/>
                <w:highlight w:val="none"/>
                <w14:textFill>
                  <w14:solidFill>
                    <w14:schemeClr w14:val="tx1"/>
                  </w14:solidFill>
                </w14:textFill>
              </w:rPr>
            </w:pPr>
          </w:p>
          <w:p w14:paraId="5C8026E1">
            <w:pPr>
              <w:spacing w:line="252" w:lineRule="auto"/>
              <w:rPr>
                <w:rFonts w:ascii="Arial"/>
                <w:color w:val="000000" w:themeColor="text1"/>
                <w:sz w:val="24"/>
                <w:szCs w:val="24"/>
                <w:highlight w:val="none"/>
                <w14:textFill>
                  <w14:solidFill>
                    <w14:schemeClr w14:val="tx1"/>
                  </w14:solidFill>
                </w14:textFill>
              </w:rPr>
            </w:pPr>
          </w:p>
          <w:p w14:paraId="58386461">
            <w:pPr>
              <w:spacing w:line="252" w:lineRule="auto"/>
              <w:rPr>
                <w:rFonts w:ascii="Arial"/>
                <w:color w:val="000000" w:themeColor="text1"/>
                <w:sz w:val="24"/>
                <w:szCs w:val="24"/>
                <w:highlight w:val="none"/>
                <w14:textFill>
                  <w14:solidFill>
                    <w14:schemeClr w14:val="tx1"/>
                  </w14:solidFill>
                </w14:textFill>
              </w:rPr>
            </w:pPr>
          </w:p>
          <w:p w14:paraId="615F2435">
            <w:pPr>
              <w:pStyle w:val="11"/>
              <w:keepNext w:val="0"/>
              <w:keepLines w:val="0"/>
              <w:pageBreakBefore w:val="0"/>
              <w:widowControl w:val="0"/>
              <w:kinsoku/>
              <w:wordWrap/>
              <w:overflowPunct/>
              <w:topLinePunct w:val="0"/>
              <w:autoSpaceDE/>
              <w:autoSpaceDN/>
              <w:bidi w:val="0"/>
              <w:adjustRightInd/>
              <w:snapToGrid/>
              <w:spacing w:before="72" w:line="221" w:lineRule="auto"/>
              <w:ind w:left="0"/>
              <w:textAlignment w:val="auto"/>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形式</w:t>
            </w:r>
          </w:p>
          <w:p w14:paraId="7B0DB307">
            <w:pPr>
              <w:pStyle w:val="11"/>
              <w:keepNext w:val="0"/>
              <w:keepLines w:val="0"/>
              <w:pageBreakBefore w:val="0"/>
              <w:widowControl w:val="0"/>
              <w:kinsoku/>
              <w:wordWrap/>
              <w:overflowPunct/>
              <w:topLinePunct w:val="0"/>
              <w:autoSpaceDE/>
              <w:autoSpaceDN/>
              <w:bidi w:val="0"/>
              <w:adjustRightInd/>
              <w:snapToGrid/>
              <w:spacing w:before="166" w:line="220" w:lineRule="auto"/>
              <w:ind w:left="0"/>
              <w:textAlignment w:val="auto"/>
              <w:rPr>
                <w:color w:val="000000" w:themeColor="text1"/>
                <w:sz w:val="24"/>
                <w:szCs w:val="24"/>
                <w:highlight w:val="none"/>
                <w14:textFill>
                  <w14:solidFill>
                    <w14:schemeClr w14:val="tx1"/>
                  </w14:solidFill>
                </w14:textFill>
              </w:rPr>
            </w:pPr>
            <w:r>
              <w:rPr>
                <w:color w:val="000000" w:themeColor="text1"/>
                <w:spacing w:val="9"/>
                <w:sz w:val="24"/>
                <w:szCs w:val="24"/>
                <w:highlight w:val="none"/>
                <w14:textFill>
                  <w14:solidFill>
                    <w14:schemeClr w14:val="tx1"/>
                  </w14:solidFill>
                </w14:textFill>
              </w:rPr>
              <w:t>评审</w:t>
            </w:r>
          </w:p>
          <w:p w14:paraId="68B4AC17">
            <w:pPr>
              <w:pStyle w:val="11"/>
              <w:keepNext w:val="0"/>
              <w:keepLines w:val="0"/>
              <w:pageBreakBefore w:val="0"/>
              <w:widowControl w:val="0"/>
              <w:kinsoku/>
              <w:wordWrap/>
              <w:overflowPunct/>
              <w:topLinePunct w:val="0"/>
              <w:autoSpaceDE/>
              <w:autoSpaceDN/>
              <w:bidi w:val="0"/>
              <w:adjustRightInd/>
              <w:snapToGrid/>
              <w:spacing w:before="180" w:line="221" w:lineRule="auto"/>
              <w:ind w:left="0"/>
              <w:textAlignment w:val="auto"/>
              <w:rPr>
                <w:color w:val="000000" w:themeColor="text1"/>
                <w:sz w:val="24"/>
                <w:szCs w:val="24"/>
                <w:highlight w:val="none"/>
                <w14:textFill>
                  <w14:solidFill>
                    <w14:schemeClr w14:val="tx1"/>
                  </w14:solidFill>
                </w14:textFill>
              </w:rPr>
            </w:pPr>
            <w:r>
              <w:rPr>
                <w:color w:val="000000" w:themeColor="text1"/>
                <w:spacing w:val="9"/>
                <w:sz w:val="24"/>
                <w:szCs w:val="24"/>
                <w:highlight w:val="none"/>
                <w14:textFill>
                  <w14:solidFill>
                    <w14:schemeClr w14:val="tx1"/>
                  </w14:solidFill>
                </w14:textFill>
              </w:rPr>
              <w:t>与响</w:t>
            </w:r>
          </w:p>
          <w:p w14:paraId="1003CBB3">
            <w:pPr>
              <w:pStyle w:val="11"/>
              <w:keepNext w:val="0"/>
              <w:keepLines w:val="0"/>
              <w:pageBreakBefore w:val="0"/>
              <w:widowControl w:val="0"/>
              <w:kinsoku/>
              <w:wordWrap/>
              <w:overflowPunct/>
              <w:topLinePunct w:val="0"/>
              <w:autoSpaceDE/>
              <w:autoSpaceDN/>
              <w:bidi w:val="0"/>
              <w:adjustRightInd/>
              <w:snapToGrid/>
              <w:spacing w:before="194" w:line="221" w:lineRule="auto"/>
              <w:ind w:left="0"/>
              <w:textAlignment w:val="auto"/>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应性</w:t>
            </w:r>
          </w:p>
          <w:p w14:paraId="3E7DBBCD">
            <w:pPr>
              <w:pStyle w:val="11"/>
              <w:keepNext w:val="0"/>
              <w:keepLines w:val="0"/>
              <w:pageBreakBefore w:val="0"/>
              <w:widowControl w:val="0"/>
              <w:kinsoku/>
              <w:wordWrap/>
              <w:overflowPunct/>
              <w:topLinePunct w:val="0"/>
              <w:autoSpaceDE/>
              <w:autoSpaceDN/>
              <w:bidi w:val="0"/>
              <w:adjustRightInd/>
              <w:snapToGrid/>
              <w:spacing w:before="156" w:line="220" w:lineRule="auto"/>
              <w:ind w:left="0"/>
              <w:textAlignment w:val="auto"/>
              <w:rPr>
                <w:color w:val="000000" w:themeColor="text1"/>
                <w:sz w:val="24"/>
                <w:szCs w:val="24"/>
                <w:highlight w:val="none"/>
                <w14:textFill>
                  <w14:solidFill>
                    <w14:schemeClr w14:val="tx1"/>
                  </w14:solidFill>
                </w14:textFill>
              </w:rPr>
            </w:pPr>
            <w:r>
              <w:rPr>
                <w:color w:val="000000" w:themeColor="text1"/>
                <w:spacing w:val="9"/>
                <w:sz w:val="24"/>
                <w:szCs w:val="24"/>
                <w:highlight w:val="none"/>
                <w14:textFill>
                  <w14:solidFill>
                    <w14:schemeClr w14:val="tx1"/>
                  </w14:solidFill>
                </w14:textFill>
              </w:rPr>
              <w:t>评审</w:t>
            </w:r>
          </w:p>
          <w:p w14:paraId="17341423">
            <w:pPr>
              <w:pStyle w:val="11"/>
              <w:keepNext w:val="0"/>
              <w:keepLines w:val="0"/>
              <w:pageBreakBefore w:val="0"/>
              <w:widowControl w:val="0"/>
              <w:kinsoku/>
              <w:wordWrap/>
              <w:overflowPunct/>
              <w:topLinePunct w:val="0"/>
              <w:autoSpaceDE/>
              <w:autoSpaceDN/>
              <w:bidi w:val="0"/>
              <w:adjustRightInd/>
              <w:snapToGrid/>
              <w:spacing w:before="177" w:line="220" w:lineRule="auto"/>
              <w:ind w:left="0" w:leftChars="0"/>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标准</w:t>
            </w:r>
          </w:p>
        </w:tc>
        <w:tc>
          <w:tcPr>
            <w:tcW w:w="7462" w:type="dxa"/>
            <w:tcBorders>
              <w:top w:val="single" w:color="auto" w:sz="4" w:space="0"/>
              <w:left w:val="single" w:color="auto" w:sz="4" w:space="0"/>
              <w:right w:val="single" w:color="auto" w:sz="4" w:space="0"/>
            </w:tcBorders>
            <w:noWrap w:val="0"/>
            <w:vAlign w:val="top"/>
          </w:tcPr>
          <w:p w14:paraId="050CCC48">
            <w:pPr>
              <w:pStyle w:val="11"/>
              <w:keepNext w:val="0"/>
              <w:keepLines w:val="0"/>
              <w:pageBreakBefore w:val="0"/>
              <w:widowControl w:val="0"/>
              <w:kinsoku/>
              <w:wordWrap/>
              <w:overflowPunct/>
              <w:topLinePunct w:val="0"/>
              <w:autoSpaceDE/>
              <w:autoSpaceDN/>
              <w:bidi w:val="0"/>
              <w:adjustRightInd/>
              <w:snapToGrid/>
              <w:spacing w:line="312" w:lineRule="auto"/>
              <w:ind w:firstLine="466" w:firstLineChars="200"/>
              <w:textAlignment w:val="auto"/>
              <w:rPr>
                <w:rFonts w:hint="eastAsia"/>
                <w:b/>
                <w:bCs/>
                <w:color w:val="000000" w:themeColor="text1"/>
                <w:spacing w:val="-4"/>
                <w:sz w:val="24"/>
                <w:szCs w:val="24"/>
                <w:highlight w:val="none"/>
                <w14:textFill>
                  <w14:solidFill>
                    <w14:schemeClr w14:val="tx1"/>
                  </w14:solidFill>
                </w14:textFill>
              </w:rPr>
            </w:pPr>
            <w:r>
              <w:rPr>
                <w:rFonts w:hint="eastAsia"/>
                <w:b/>
                <w:bCs/>
                <w:color w:val="000000" w:themeColor="text1"/>
                <w:spacing w:val="-4"/>
                <w:sz w:val="24"/>
                <w:szCs w:val="24"/>
                <w:highlight w:val="none"/>
                <w14:textFill>
                  <w14:solidFill>
                    <w14:schemeClr w14:val="tx1"/>
                  </w14:solidFill>
                </w14:textFill>
              </w:rPr>
              <w:t>第一个信封(商务及技术文件)评审标准：</w:t>
            </w:r>
          </w:p>
          <w:p w14:paraId="403D6ECD">
            <w:pPr>
              <w:pStyle w:val="11"/>
              <w:keepNext w:val="0"/>
              <w:keepLines w:val="0"/>
              <w:pageBreakBefore w:val="0"/>
              <w:widowControl w:val="0"/>
              <w:kinsoku/>
              <w:wordWrap/>
              <w:overflowPunct/>
              <w:topLinePunct w:val="0"/>
              <w:autoSpaceDE/>
              <w:autoSpaceDN/>
              <w:bidi w:val="0"/>
              <w:adjustRightInd/>
              <w:snapToGrid/>
              <w:spacing w:line="312"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(1)投标文件按照招标文件规定的格式、内容填写，字迹清晰可辨：</w:t>
            </w:r>
          </w:p>
          <w:p w14:paraId="4A72A3C9">
            <w:pPr>
              <w:pStyle w:val="11"/>
              <w:keepNext w:val="0"/>
              <w:keepLines w:val="0"/>
              <w:pageBreakBefore w:val="0"/>
              <w:widowControl w:val="0"/>
              <w:kinsoku/>
              <w:wordWrap/>
              <w:overflowPunct/>
              <w:topLinePunct w:val="0"/>
              <w:autoSpaceDE/>
              <w:autoSpaceDN/>
              <w:bidi w:val="0"/>
              <w:adjustRightInd/>
              <w:snapToGrid/>
              <w:spacing w:line="312"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a、投标函按招标文件规定填报了项目名称、补遗书编号(如有)、工期、工程质量要求及安全目标等；</w:t>
            </w:r>
          </w:p>
          <w:p w14:paraId="0480D707">
            <w:pPr>
              <w:pStyle w:val="11"/>
              <w:keepNext w:val="0"/>
              <w:keepLines w:val="0"/>
              <w:pageBreakBefore w:val="0"/>
              <w:widowControl w:val="0"/>
              <w:kinsoku/>
              <w:wordWrap/>
              <w:overflowPunct/>
              <w:topLinePunct w:val="0"/>
              <w:autoSpaceDE/>
              <w:autoSpaceDN/>
              <w:bidi w:val="0"/>
              <w:adjustRightInd/>
              <w:snapToGrid/>
              <w:spacing w:line="312"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b、投标函附录的所有数据均符合招标文件规定；</w:t>
            </w:r>
          </w:p>
          <w:p w14:paraId="27C32877">
            <w:pPr>
              <w:pStyle w:val="11"/>
              <w:keepNext w:val="0"/>
              <w:keepLines w:val="0"/>
              <w:pageBreakBefore w:val="0"/>
              <w:widowControl w:val="0"/>
              <w:kinsoku/>
              <w:wordWrap/>
              <w:overflowPunct/>
              <w:topLinePunct w:val="0"/>
              <w:autoSpaceDE/>
              <w:autoSpaceDN/>
              <w:bidi w:val="0"/>
              <w:adjustRightInd/>
              <w:snapToGrid/>
              <w:spacing w:line="312"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c、投标函、承诺函文字与招标文件规定一致，未进行实质性的修改和删减；</w:t>
            </w:r>
          </w:p>
          <w:p w14:paraId="6EA30549">
            <w:pPr>
              <w:pStyle w:val="11"/>
              <w:keepNext w:val="0"/>
              <w:keepLines w:val="0"/>
              <w:pageBreakBefore w:val="0"/>
              <w:widowControl w:val="0"/>
              <w:kinsoku/>
              <w:wordWrap/>
              <w:overflowPunct/>
              <w:topLinePunct w:val="0"/>
              <w:autoSpaceDE/>
              <w:autoSpaceDN/>
              <w:bidi w:val="0"/>
              <w:adjustRightInd/>
              <w:snapToGrid/>
              <w:spacing w:line="312"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d、投标文件组成齐全完整，内容均按规定填写。</w:t>
            </w:r>
          </w:p>
          <w:p w14:paraId="692A04B1">
            <w:pPr>
              <w:pStyle w:val="11"/>
              <w:keepNext w:val="0"/>
              <w:keepLines w:val="0"/>
              <w:pageBreakBefore w:val="0"/>
              <w:widowControl w:val="0"/>
              <w:kinsoku/>
              <w:wordWrap/>
              <w:overflowPunct/>
              <w:topLinePunct w:val="0"/>
              <w:autoSpaceDE/>
              <w:autoSpaceDN/>
              <w:bidi w:val="0"/>
              <w:adjustRightInd/>
              <w:snapToGrid/>
              <w:spacing w:line="312"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(2)投标文件上法定代表人或其授权代理人的签字、投标人的单位章盖章齐全，符合招标文件规定。</w:t>
            </w:r>
          </w:p>
          <w:p w14:paraId="5BC62ECE">
            <w:pPr>
              <w:pStyle w:val="11"/>
              <w:keepNext w:val="0"/>
              <w:keepLines w:val="0"/>
              <w:pageBreakBefore w:val="0"/>
              <w:widowControl w:val="0"/>
              <w:kinsoku/>
              <w:wordWrap/>
              <w:overflowPunct/>
              <w:topLinePunct w:val="0"/>
              <w:autoSpaceDE/>
              <w:autoSpaceDN/>
              <w:bidi w:val="0"/>
              <w:adjustRightInd/>
              <w:snapToGrid/>
              <w:spacing w:line="312"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(3)投标人按照招标文件的规定提供了投标保证金：</w:t>
            </w:r>
          </w:p>
          <w:p w14:paraId="40F73C03">
            <w:pPr>
              <w:pStyle w:val="11"/>
              <w:keepNext w:val="0"/>
              <w:keepLines w:val="0"/>
              <w:pageBreakBefore w:val="0"/>
              <w:widowControl w:val="0"/>
              <w:kinsoku/>
              <w:wordWrap/>
              <w:overflowPunct/>
              <w:topLinePunct w:val="0"/>
              <w:autoSpaceDE/>
              <w:autoSpaceDN/>
              <w:bidi w:val="0"/>
              <w:adjustRightInd/>
              <w:snapToGrid/>
              <w:spacing w:line="312"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a、投标保证金金额符合招标文件规定的金额，且投标保证金有效期不少于投标有效期 ；</w:t>
            </w:r>
          </w:p>
          <w:p w14:paraId="4F9ABDBF">
            <w:pPr>
              <w:pStyle w:val="11"/>
              <w:keepNext w:val="0"/>
              <w:keepLines w:val="0"/>
              <w:pageBreakBefore w:val="0"/>
              <w:widowControl w:val="0"/>
              <w:kinsoku/>
              <w:wordWrap/>
              <w:overflowPunct/>
              <w:topLinePunct w:val="0"/>
              <w:autoSpaceDE/>
              <w:autoSpaceDN/>
              <w:bidi w:val="0"/>
              <w:adjustRightInd/>
              <w:snapToGrid/>
              <w:spacing w:line="312"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b、若投标保证金采用现金或支票形式提交，投标人应在递交投标文件截止时间之前，将投标保证金由投标人的基本账户转入招标人指定账户，投标文件中提供了投标保证金汇款凭单的彩色影印件；</w:t>
            </w:r>
          </w:p>
          <w:p w14:paraId="53874712">
            <w:pPr>
              <w:pStyle w:val="11"/>
              <w:keepNext w:val="0"/>
              <w:keepLines w:val="0"/>
              <w:pageBreakBefore w:val="0"/>
              <w:widowControl w:val="0"/>
              <w:kinsoku/>
              <w:wordWrap/>
              <w:overflowPunct/>
              <w:topLinePunct w:val="0"/>
              <w:autoSpaceDE/>
              <w:autoSpaceDN/>
              <w:bidi w:val="0"/>
              <w:adjustRightInd/>
              <w:snapToGrid/>
              <w:spacing w:line="312"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c、若投标保证金采用银行保函形式提交，保函的格式、开具保函的银行、保函的有效期均满足招标文件要求，投标文件中提供了银行保函的彩色影印件及银行保函开具银行的官网网站保函验真查询截图，且按投标人须知前附表第3.4.1项规定提交了银行保函原件。</w:t>
            </w:r>
          </w:p>
          <w:p w14:paraId="11C5994A">
            <w:pPr>
              <w:pStyle w:val="11"/>
              <w:keepNext w:val="0"/>
              <w:keepLines w:val="0"/>
              <w:pageBreakBefore w:val="0"/>
              <w:widowControl w:val="0"/>
              <w:kinsoku/>
              <w:wordWrap/>
              <w:overflowPunct/>
              <w:topLinePunct w:val="0"/>
              <w:autoSpaceDE/>
              <w:autoSpaceDN/>
              <w:bidi w:val="0"/>
              <w:adjustRightInd/>
              <w:snapToGrid/>
              <w:spacing w:line="312"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d、若投标保证金采用电子保函形式提交，保函的有效期满足招标文件要求，投标文件中提供了电子保函(或电子保函申请完成系统截图)、电子化保函验真渠道和从投标人基本账户支出的保函财务费用支付凭证的彩色影印件。</w:t>
            </w:r>
          </w:p>
          <w:p w14:paraId="77247205">
            <w:pPr>
              <w:pStyle w:val="11"/>
              <w:keepNext w:val="0"/>
              <w:keepLines w:val="0"/>
              <w:pageBreakBefore w:val="0"/>
              <w:widowControl w:val="0"/>
              <w:kinsoku/>
              <w:wordWrap/>
              <w:overflowPunct/>
              <w:topLinePunct w:val="0"/>
              <w:autoSpaceDE/>
              <w:autoSpaceDN/>
              <w:bidi w:val="0"/>
              <w:adjustRightInd/>
              <w:snapToGrid/>
              <w:spacing w:line="312"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(4)投标人法定代表人授权委托代理人签署投标文件的，须提交授权委托书，且授权人和被授权人均在授权委托书上使用CA数字证书加盖个人电子印章或电子签名。</w:t>
            </w:r>
          </w:p>
          <w:p w14:paraId="0D825959">
            <w:pPr>
              <w:pStyle w:val="11"/>
              <w:keepNext w:val="0"/>
              <w:keepLines w:val="0"/>
              <w:pageBreakBefore w:val="0"/>
              <w:widowControl w:val="0"/>
              <w:kinsoku/>
              <w:wordWrap/>
              <w:overflowPunct/>
              <w:topLinePunct w:val="0"/>
              <w:autoSpaceDE/>
              <w:autoSpaceDN/>
              <w:bidi w:val="0"/>
              <w:adjustRightInd/>
              <w:snapToGrid/>
              <w:spacing w:line="312"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(5)投标人法定代表人亲自签署投标文件的，提供了法定代表人身份证明， 且法定代表人在法定代表人身份证明上使用CA数字证书加盖个人电子印章或电子 签名。</w:t>
            </w:r>
          </w:p>
          <w:p w14:paraId="7F0EE32C">
            <w:pPr>
              <w:pStyle w:val="11"/>
              <w:keepNext w:val="0"/>
              <w:keepLines w:val="0"/>
              <w:pageBreakBefore w:val="0"/>
              <w:widowControl w:val="0"/>
              <w:kinsoku/>
              <w:wordWrap/>
              <w:overflowPunct/>
              <w:topLinePunct w:val="0"/>
              <w:autoSpaceDE/>
              <w:autoSpaceDN/>
              <w:bidi w:val="0"/>
              <w:adjustRightInd/>
              <w:snapToGrid/>
              <w:spacing w:line="312"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(6)投标人未以联合体形式进行投标。</w:t>
            </w:r>
          </w:p>
          <w:p w14:paraId="75DF06AE">
            <w:pPr>
              <w:pStyle w:val="11"/>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(7)投标人未对本项目进行施工分包。</w:t>
            </w:r>
          </w:p>
          <w:p w14:paraId="1DB95AE7">
            <w:pPr>
              <w:pStyle w:val="11"/>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(8)同一投标人未提交两个以上不同的投标文件。</w:t>
            </w:r>
          </w:p>
          <w:p w14:paraId="1F3B810E">
            <w:pPr>
              <w:pStyle w:val="11"/>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(9)投标文件中未出现有关投标报价的内容。</w:t>
            </w:r>
          </w:p>
          <w:p w14:paraId="5B5C020C">
            <w:pPr>
              <w:pStyle w:val="11"/>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(10)投标文件载明的招标项目完成期限未超过招标文件规定的时限。</w:t>
            </w:r>
            <w:bookmarkStart w:id="28" w:name="_GoBack"/>
            <w:bookmarkEnd w:id="28"/>
          </w:p>
          <w:p w14:paraId="395C2935">
            <w:pPr>
              <w:pStyle w:val="11"/>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(11)投标文件对招标文件的实质性要求和条件作出响应。</w:t>
            </w:r>
          </w:p>
          <w:p w14:paraId="172ACE5A">
            <w:pPr>
              <w:pStyle w:val="11"/>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(12)权利义务符合招标文件规定：</w:t>
            </w:r>
          </w:p>
          <w:p w14:paraId="5FC713B3">
            <w:pPr>
              <w:pStyle w:val="11"/>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a、投标人应接受招标文件规定的风险划分原则，未提出新的风险划分办法；</w:t>
            </w:r>
          </w:p>
          <w:p w14:paraId="09E48D13">
            <w:pPr>
              <w:pStyle w:val="11"/>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b、投标人未增加发包人的责任范围，或减少投标人义务；</w:t>
            </w:r>
          </w:p>
          <w:p w14:paraId="0A97E542">
            <w:pPr>
              <w:pStyle w:val="11"/>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c、投标人未提出不同的工程验收、计量、支付办法；</w:t>
            </w:r>
          </w:p>
          <w:p w14:paraId="66180A24">
            <w:pPr>
              <w:pStyle w:val="11"/>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d、投标人对合同纠纷、事故处理办法未提出异议；</w:t>
            </w:r>
          </w:p>
          <w:p w14:paraId="2DA1FDC9">
            <w:pPr>
              <w:pStyle w:val="11"/>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e、投标人在投标活动中无欺诈行为；</w:t>
            </w:r>
          </w:p>
          <w:p w14:paraId="60E12FC7">
            <w:pPr>
              <w:pStyle w:val="11"/>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f、投标人未对合同条款有重要保留。</w:t>
            </w:r>
          </w:p>
          <w:p w14:paraId="18374020">
            <w:pPr>
              <w:pStyle w:val="11"/>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color w:val="000000" w:themeColor="text1"/>
                <w:spacing w:val="-4"/>
                <w:sz w:val="24"/>
                <w:szCs w:val="24"/>
                <w:highlight w:val="none"/>
                <w:lang w:val="en-US" w:eastAsia="zh-CN"/>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(13)</w:t>
            </w:r>
            <w:r>
              <w:rPr>
                <w:rFonts w:hint="eastAsia"/>
                <w:color w:val="000000" w:themeColor="text1"/>
                <w:spacing w:val="-4"/>
                <w:sz w:val="24"/>
                <w:szCs w:val="24"/>
                <w:highlight w:val="none"/>
                <w14:textFill>
                  <w14:solidFill>
                    <w14:schemeClr w14:val="tx1"/>
                  </w14:solidFill>
                </w14:textFill>
              </w:rPr>
              <w:t>“施工组织设计”采用暗标形式，其编制须满足招标文件第二章“投标人须知”前附表第9.1款的要求。</w:t>
            </w:r>
          </w:p>
          <w:p w14:paraId="67DBC1F8">
            <w:pPr>
              <w:pStyle w:val="11"/>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投标人“施工组织设计”编制不满足招标文件暗标要求，但由于“电子交易平台”系统设定的原因无法在第一个信封(商务及技术文件)形式评审与响应性评审 阶段予以否决的，其各评分因素细分项均按最低评分标准录入，且不参与第二个信封(报价文件)的开标。</w:t>
            </w:r>
          </w:p>
          <w:p w14:paraId="5B57482E">
            <w:pPr>
              <w:pStyle w:val="11"/>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(14)未发现投标人与其他投标人存在使用同一不可篡改的唯一标识软硬件设备投标的(如：MAC地址、标书制作特征码、标书唯一特征码等)。</w:t>
            </w:r>
          </w:p>
          <w:p w14:paraId="4544FE41">
            <w:pPr>
              <w:pStyle w:val="11"/>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(15)投标人填写的开标记录表信息与投标函一致。</w:t>
            </w:r>
          </w:p>
          <w:p w14:paraId="73D52C4B">
            <w:pPr>
              <w:pStyle w:val="11"/>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投标文件未满足以上任一条件的，其投标视为无效，评标委员会将否决其投标。</w:t>
            </w:r>
          </w:p>
          <w:p w14:paraId="1CC74144">
            <w:pPr>
              <w:pStyle w:val="11"/>
              <w:keepNext w:val="0"/>
              <w:keepLines w:val="0"/>
              <w:pageBreakBefore w:val="0"/>
              <w:widowControl w:val="0"/>
              <w:kinsoku/>
              <w:wordWrap/>
              <w:overflowPunct/>
              <w:topLinePunct w:val="0"/>
              <w:autoSpaceDE/>
              <w:autoSpaceDN/>
              <w:bidi w:val="0"/>
              <w:adjustRightInd/>
              <w:snapToGrid/>
              <w:spacing w:line="360" w:lineRule="auto"/>
              <w:ind w:firstLine="466" w:firstLineChars="200"/>
              <w:textAlignment w:val="auto"/>
              <w:rPr>
                <w:rFonts w:hint="eastAsia"/>
                <w:b/>
                <w:bCs/>
                <w:color w:val="000000" w:themeColor="text1"/>
                <w:spacing w:val="-4"/>
                <w:sz w:val="24"/>
                <w:szCs w:val="24"/>
                <w:highlight w:val="none"/>
                <w14:textFill>
                  <w14:solidFill>
                    <w14:schemeClr w14:val="tx1"/>
                  </w14:solidFill>
                </w14:textFill>
              </w:rPr>
            </w:pPr>
            <w:r>
              <w:rPr>
                <w:rFonts w:hint="eastAsia"/>
                <w:b/>
                <w:bCs/>
                <w:color w:val="000000" w:themeColor="text1"/>
                <w:spacing w:val="-4"/>
                <w:sz w:val="24"/>
                <w:szCs w:val="24"/>
                <w:highlight w:val="none"/>
                <w14:textFill>
                  <w14:solidFill>
                    <w14:schemeClr w14:val="tx1"/>
                  </w14:solidFill>
                </w14:textFill>
              </w:rPr>
              <w:t>第二个信封(报价文件)评审标准：</w:t>
            </w:r>
          </w:p>
          <w:p w14:paraId="7085C38E">
            <w:pPr>
              <w:pStyle w:val="11"/>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lang w:val="en-US" w:eastAsia="zh-CN"/>
                <w14:textFill>
                  <w14:solidFill>
                    <w14:schemeClr w14:val="tx1"/>
                  </w14:solidFill>
                </w14:textFill>
              </w:rPr>
              <w:t>(1)</w:t>
            </w:r>
            <w:r>
              <w:rPr>
                <w:rFonts w:hint="eastAsia"/>
                <w:color w:val="000000" w:themeColor="text1"/>
                <w:spacing w:val="-4"/>
                <w:sz w:val="24"/>
                <w:szCs w:val="24"/>
                <w:highlight w:val="none"/>
                <w14:textFill>
                  <w14:solidFill>
                    <w14:schemeClr w14:val="tx1"/>
                  </w14:solidFill>
                </w14:textFill>
              </w:rPr>
              <w:t>投标文件按照招标文件规定的格式、内容填写，字迹清晰可辨：</w:t>
            </w:r>
          </w:p>
          <w:p w14:paraId="64428BE5">
            <w:pPr>
              <w:pStyle w:val="11"/>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eastAsia="宋体"/>
                <w:color w:val="000000" w:themeColor="text1"/>
                <w:spacing w:val="-4"/>
                <w:sz w:val="24"/>
                <w:szCs w:val="24"/>
                <w:highlight w:val="none"/>
                <w:lang w:eastAsia="zh-CN"/>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a、投标函按招标文件规定填报了项目名称、补遗书编号(如有)、投标价(包 括大写金额和小写金额)</w:t>
            </w:r>
            <w:r>
              <w:rPr>
                <w:rFonts w:hint="eastAsia"/>
                <w:color w:val="000000" w:themeColor="text1"/>
                <w:spacing w:val="-4"/>
                <w:sz w:val="24"/>
                <w:szCs w:val="24"/>
                <w:highlight w:val="none"/>
                <w:lang w:eastAsia="zh-CN"/>
                <w14:textFill>
                  <w14:solidFill>
                    <w14:schemeClr w14:val="tx1"/>
                  </w14:solidFill>
                </w14:textFill>
              </w:rPr>
              <w:t>；</w:t>
            </w:r>
          </w:p>
          <w:p w14:paraId="10D79EFA">
            <w:pPr>
              <w:pStyle w:val="11"/>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b、投标函与招标文件规定一致，未进行实质性的修改和删减；</w:t>
            </w:r>
          </w:p>
          <w:p w14:paraId="440EB49D">
            <w:pPr>
              <w:pStyle w:val="11"/>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c、投标文件组成齐全完整，内容均按规定填写。</w:t>
            </w:r>
          </w:p>
          <w:p w14:paraId="6391FCC8">
            <w:pPr>
              <w:pStyle w:val="11"/>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(2)投标文件上法定代表人或其授权代理人的签字、投标人的单位章盖章齐全，符合招标文件规定。</w:t>
            </w:r>
          </w:p>
          <w:p w14:paraId="00F636F8">
            <w:pPr>
              <w:pStyle w:val="11"/>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(3)投标报价中的报价未超过招标文件设定的最高投标限价。</w:t>
            </w:r>
          </w:p>
          <w:p w14:paraId="31470558">
            <w:pPr>
              <w:pStyle w:val="11"/>
              <w:keepNext w:val="0"/>
              <w:keepLines w:val="0"/>
              <w:pageBreakBefore w:val="0"/>
              <w:widowControl w:val="0"/>
              <w:kinsoku/>
              <w:wordWrap/>
              <w:overflowPunct/>
              <w:topLinePunct w:val="0"/>
              <w:autoSpaceDE/>
              <w:autoSpaceDN/>
              <w:bidi w:val="0"/>
              <w:adjustRightInd/>
              <w:snapToGrid/>
              <w:spacing w:line="312"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(4)投标报价的大写金额能够确定具体数值，且大写金额与小写金额一致。</w:t>
            </w:r>
          </w:p>
          <w:p w14:paraId="204E7A5C">
            <w:pPr>
              <w:pStyle w:val="11"/>
              <w:keepNext w:val="0"/>
              <w:keepLines w:val="0"/>
              <w:pageBreakBefore w:val="0"/>
              <w:widowControl w:val="0"/>
              <w:kinsoku/>
              <w:wordWrap/>
              <w:overflowPunct/>
              <w:topLinePunct w:val="0"/>
              <w:autoSpaceDE/>
              <w:autoSpaceDN/>
              <w:bidi w:val="0"/>
              <w:adjustRightInd/>
              <w:snapToGrid/>
              <w:spacing w:line="312"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(5)同一投标人未提交两个以上不同的投标报价。</w:t>
            </w:r>
          </w:p>
          <w:p w14:paraId="6A9EE9CD">
            <w:pPr>
              <w:pStyle w:val="11"/>
              <w:keepNext w:val="0"/>
              <w:keepLines w:val="0"/>
              <w:pageBreakBefore w:val="0"/>
              <w:widowControl w:val="0"/>
              <w:kinsoku/>
              <w:wordWrap/>
              <w:overflowPunct/>
              <w:topLinePunct w:val="0"/>
              <w:autoSpaceDE/>
              <w:autoSpaceDN/>
              <w:bidi w:val="0"/>
              <w:adjustRightInd/>
              <w:snapToGrid/>
              <w:spacing w:line="312"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(6)未修改招标人给定的暂列金额(如有)。</w:t>
            </w:r>
          </w:p>
          <w:p w14:paraId="08910CD4">
            <w:pPr>
              <w:pStyle w:val="11"/>
              <w:keepNext w:val="0"/>
              <w:keepLines w:val="0"/>
              <w:pageBreakBefore w:val="0"/>
              <w:widowControl w:val="0"/>
              <w:kinsoku/>
              <w:wordWrap/>
              <w:overflowPunct/>
              <w:topLinePunct w:val="0"/>
              <w:autoSpaceDE/>
              <w:autoSpaceDN/>
              <w:bidi w:val="0"/>
              <w:adjustRightInd/>
              <w:snapToGrid/>
              <w:spacing w:line="312"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(7)未发现投标人与其他投标人存在使用同一不可篡改的唯一标识软硬件设 备投标的(如：MAC地址、标书制作特征码、标书唯一特征码等)。</w:t>
            </w:r>
          </w:p>
          <w:p w14:paraId="67F80711">
            <w:pPr>
              <w:pStyle w:val="11"/>
              <w:keepNext w:val="0"/>
              <w:keepLines w:val="0"/>
              <w:pageBreakBefore w:val="0"/>
              <w:widowControl w:val="0"/>
              <w:kinsoku/>
              <w:wordWrap/>
              <w:overflowPunct/>
              <w:topLinePunct w:val="0"/>
              <w:autoSpaceDE/>
              <w:autoSpaceDN/>
              <w:bidi w:val="0"/>
              <w:adjustRightInd/>
              <w:snapToGrid/>
              <w:spacing w:line="312" w:lineRule="auto"/>
              <w:ind w:firstLine="464" w:firstLineChars="20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(8)投标人填写的开标记录表信息与投标函一致。</w:t>
            </w:r>
          </w:p>
          <w:p w14:paraId="45FD0888">
            <w:pPr>
              <w:pStyle w:val="11"/>
              <w:keepNext w:val="0"/>
              <w:keepLines w:val="0"/>
              <w:pageBreakBefore w:val="0"/>
              <w:widowControl w:val="0"/>
              <w:kinsoku/>
              <w:wordWrap/>
              <w:overflowPunct/>
              <w:topLinePunct w:val="0"/>
              <w:autoSpaceDE/>
              <w:autoSpaceDN/>
              <w:bidi w:val="0"/>
              <w:adjustRightInd/>
              <w:snapToGrid/>
              <w:spacing w:line="312" w:lineRule="auto"/>
              <w:ind w:firstLine="464" w:firstLineChars="200"/>
              <w:textAlignment w:val="auto"/>
              <w:rPr>
                <w:rFonts w:hint="eastAsia"/>
                <w:color w:val="000000" w:themeColor="text1"/>
                <w:spacing w:val="-4"/>
                <w:sz w:val="24"/>
                <w:szCs w:val="24"/>
                <w:highlight w:val="none"/>
                <w:lang w:val="en-US" w:eastAsia="zh-CN"/>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投标文件未满足以上任一条件的，其投标视为无效，评标委员会将否决其投标</w:t>
            </w:r>
            <w:r>
              <w:rPr>
                <w:rFonts w:hint="eastAsia"/>
                <w:color w:val="000000" w:themeColor="text1"/>
                <w:spacing w:val="-4"/>
                <w:sz w:val="24"/>
                <w:szCs w:val="24"/>
                <w:highlight w:val="none"/>
                <w:lang w:eastAsia="zh-CN"/>
                <w14:textFill>
                  <w14:solidFill>
                    <w14:schemeClr w14:val="tx1"/>
                  </w14:solidFill>
                </w14:textFill>
              </w:rPr>
              <w:t>。</w:t>
            </w:r>
          </w:p>
        </w:tc>
      </w:tr>
      <w:tr w14:paraId="361AA6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30" w:hRule="atLeast"/>
        </w:trPr>
        <w:tc>
          <w:tcPr>
            <w:tcW w:w="939" w:type="dxa"/>
            <w:tcBorders>
              <w:top w:val="single" w:color="auto" w:sz="4" w:space="0"/>
              <w:right w:val="single" w:color="auto" w:sz="4" w:space="0"/>
            </w:tcBorders>
            <w:noWrap w:val="0"/>
            <w:vAlign w:val="center"/>
          </w:tcPr>
          <w:p w14:paraId="3AEC30A1">
            <w:pPr>
              <w:pStyle w:val="11"/>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2.1.2</w:t>
            </w:r>
          </w:p>
        </w:tc>
        <w:tc>
          <w:tcPr>
            <w:tcW w:w="788" w:type="dxa"/>
            <w:tcBorders>
              <w:top w:val="single" w:color="auto" w:sz="4" w:space="0"/>
              <w:right w:val="single" w:color="auto" w:sz="4" w:space="0"/>
            </w:tcBorders>
            <w:noWrap w:val="0"/>
            <w:vAlign w:val="center"/>
          </w:tcPr>
          <w:p w14:paraId="07C689F6">
            <w:pPr>
              <w:pStyle w:val="1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资格</w:t>
            </w:r>
          </w:p>
          <w:p w14:paraId="46D15993">
            <w:pPr>
              <w:pStyle w:val="11"/>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color w:val="000000" w:themeColor="text1"/>
                <w:spacing w:val="9"/>
                <w:sz w:val="24"/>
                <w:szCs w:val="24"/>
                <w:highlight w:val="none"/>
                <w14:textFill>
                  <w14:solidFill>
                    <w14:schemeClr w14:val="tx1"/>
                  </w14:solidFill>
                </w14:textFill>
              </w:rPr>
              <w:t>评审</w:t>
            </w:r>
            <w:r>
              <w:rPr>
                <w:color w:val="000000" w:themeColor="text1"/>
                <w:spacing w:val="-3"/>
                <w:sz w:val="24"/>
                <w:szCs w:val="24"/>
                <w:highlight w:val="none"/>
                <w14:textFill>
                  <w14:solidFill>
                    <w14:schemeClr w14:val="tx1"/>
                  </w14:solidFill>
                </w14:textFill>
              </w:rPr>
              <w:t>标准</w:t>
            </w:r>
          </w:p>
        </w:tc>
        <w:tc>
          <w:tcPr>
            <w:tcW w:w="7462" w:type="dxa"/>
            <w:tcBorders>
              <w:top w:val="single" w:color="auto" w:sz="4" w:space="0"/>
              <w:left w:val="single" w:color="auto" w:sz="4" w:space="0"/>
              <w:right w:val="single" w:color="auto" w:sz="4" w:space="0"/>
            </w:tcBorders>
            <w:noWrap w:val="0"/>
            <w:vAlign w:val="top"/>
          </w:tcPr>
          <w:p w14:paraId="38483B52">
            <w:pPr>
              <w:pStyle w:val="11"/>
              <w:keepNext w:val="0"/>
              <w:keepLines w:val="0"/>
              <w:pageBreakBefore w:val="0"/>
              <w:widowControl w:val="0"/>
              <w:kinsoku/>
              <w:wordWrap/>
              <w:overflowPunct/>
              <w:topLinePunct w:val="0"/>
              <w:autoSpaceDE/>
              <w:autoSpaceDN/>
              <w:bidi w:val="0"/>
              <w:adjustRightInd/>
              <w:snapToGrid/>
              <w:spacing w:line="360" w:lineRule="auto"/>
              <w:ind w:left="0" w:firstLine="436" w:firstLineChars="200"/>
              <w:textAlignment w:val="auto"/>
              <w:rPr>
                <w:color w:val="000000" w:themeColor="text1"/>
                <w:spacing w:val="-11"/>
                <w:sz w:val="24"/>
                <w:szCs w:val="24"/>
                <w:highlight w:val="none"/>
                <w14:textFill>
                  <w14:solidFill>
                    <w14:schemeClr w14:val="tx1"/>
                  </w14:solidFill>
                </w14:textFill>
              </w:rPr>
            </w:pPr>
            <w:r>
              <w:rPr>
                <w:color w:val="000000" w:themeColor="text1"/>
                <w:spacing w:val="-11"/>
                <w:sz w:val="24"/>
                <w:szCs w:val="24"/>
                <w:highlight w:val="none"/>
                <w14:textFill>
                  <w14:solidFill>
                    <w14:schemeClr w14:val="tx1"/>
                  </w14:solidFill>
                </w14:textFill>
              </w:rPr>
              <w:t>(1)投标人的资质等级符合招标文件投标人须知前附表附录1的规定。</w:t>
            </w:r>
          </w:p>
          <w:p w14:paraId="57998644">
            <w:pPr>
              <w:pStyle w:val="11"/>
              <w:keepNext w:val="0"/>
              <w:keepLines w:val="0"/>
              <w:pageBreakBefore w:val="0"/>
              <w:widowControl w:val="0"/>
              <w:kinsoku/>
              <w:wordWrap/>
              <w:overflowPunct/>
              <w:topLinePunct w:val="0"/>
              <w:autoSpaceDE/>
              <w:autoSpaceDN/>
              <w:bidi w:val="0"/>
              <w:adjustRightInd/>
              <w:snapToGrid/>
              <w:spacing w:line="360" w:lineRule="auto"/>
              <w:ind w:left="0" w:firstLine="436" w:firstLineChars="200"/>
              <w:textAlignment w:val="auto"/>
              <w:rPr>
                <w:color w:val="000000" w:themeColor="text1"/>
                <w:spacing w:val="-11"/>
                <w:sz w:val="24"/>
                <w:szCs w:val="24"/>
                <w:highlight w:val="none"/>
                <w14:textFill>
                  <w14:solidFill>
                    <w14:schemeClr w14:val="tx1"/>
                  </w14:solidFill>
                </w14:textFill>
              </w:rPr>
            </w:pPr>
            <w:r>
              <w:rPr>
                <w:color w:val="000000" w:themeColor="text1"/>
                <w:spacing w:val="-11"/>
                <w:sz w:val="24"/>
                <w:szCs w:val="24"/>
                <w:highlight w:val="none"/>
                <w14:textFill>
                  <w14:solidFill>
                    <w14:schemeClr w14:val="tx1"/>
                  </w14:solidFill>
                </w14:textFill>
              </w:rPr>
              <w:t>(2)投标人的企业业绩符合招标文件投标人须知前附表附录2的规定。</w:t>
            </w:r>
          </w:p>
          <w:p w14:paraId="66B6111C">
            <w:pPr>
              <w:pStyle w:val="11"/>
              <w:keepNext w:val="0"/>
              <w:keepLines w:val="0"/>
              <w:pageBreakBefore w:val="0"/>
              <w:widowControl w:val="0"/>
              <w:kinsoku/>
              <w:wordWrap/>
              <w:overflowPunct/>
              <w:topLinePunct w:val="0"/>
              <w:autoSpaceDE/>
              <w:autoSpaceDN/>
              <w:bidi w:val="0"/>
              <w:adjustRightInd/>
              <w:snapToGrid/>
              <w:spacing w:line="360" w:lineRule="auto"/>
              <w:ind w:left="0" w:firstLine="436" w:firstLineChars="200"/>
              <w:textAlignment w:val="auto"/>
              <w:rPr>
                <w:color w:val="000000" w:themeColor="text1"/>
                <w:spacing w:val="-11"/>
                <w:sz w:val="24"/>
                <w:szCs w:val="24"/>
                <w:highlight w:val="none"/>
                <w14:textFill>
                  <w14:solidFill>
                    <w14:schemeClr w14:val="tx1"/>
                  </w14:solidFill>
                </w14:textFill>
              </w:rPr>
            </w:pPr>
            <w:r>
              <w:rPr>
                <w:color w:val="000000" w:themeColor="text1"/>
                <w:spacing w:val="-11"/>
                <w:sz w:val="24"/>
                <w:szCs w:val="24"/>
                <w:highlight w:val="none"/>
                <w14:textFill>
                  <w14:solidFill>
                    <w14:schemeClr w14:val="tx1"/>
                  </w14:solidFill>
                </w14:textFill>
              </w:rPr>
              <w:t>(3)投标人的企业信誉符合招标文件投标人须知前附表附录3的规定。</w:t>
            </w:r>
          </w:p>
          <w:p w14:paraId="68692F79">
            <w:pPr>
              <w:pStyle w:val="11"/>
              <w:keepNext w:val="0"/>
              <w:keepLines w:val="0"/>
              <w:pageBreakBefore w:val="0"/>
              <w:widowControl w:val="0"/>
              <w:kinsoku/>
              <w:wordWrap/>
              <w:overflowPunct/>
              <w:topLinePunct w:val="0"/>
              <w:autoSpaceDE/>
              <w:autoSpaceDN/>
              <w:bidi w:val="0"/>
              <w:adjustRightInd/>
              <w:snapToGrid/>
              <w:spacing w:line="360" w:lineRule="auto"/>
              <w:ind w:left="0" w:firstLine="436" w:firstLineChars="200"/>
              <w:textAlignment w:val="auto"/>
              <w:rPr>
                <w:color w:val="000000" w:themeColor="text1"/>
                <w:spacing w:val="-11"/>
                <w:sz w:val="24"/>
                <w:szCs w:val="24"/>
                <w:highlight w:val="none"/>
                <w14:textFill>
                  <w14:solidFill>
                    <w14:schemeClr w14:val="tx1"/>
                  </w14:solidFill>
                </w14:textFill>
              </w:rPr>
            </w:pPr>
            <w:r>
              <w:rPr>
                <w:color w:val="000000" w:themeColor="text1"/>
                <w:spacing w:val="-11"/>
                <w:sz w:val="24"/>
                <w:szCs w:val="24"/>
                <w:highlight w:val="none"/>
                <w14:textFill>
                  <w14:solidFill>
                    <w14:schemeClr w14:val="tx1"/>
                  </w14:solidFill>
                </w14:textFill>
              </w:rPr>
              <w:t>(4)投标人的项目经理和项目总工资格、在岗情况符合招标文件投标人须知前附表附录4的规定。</w:t>
            </w:r>
          </w:p>
          <w:p w14:paraId="36779E5C">
            <w:pPr>
              <w:pStyle w:val="11"/>
              <w:keepNext w:val="0"/>
              <w:keepLines w:val="0"/>
              <w:pageBreakBefore w:val="0"/>
              <w:widowControl w:val="0"/>
              <w:kinsoku/>
              <w:wordWrap/>
              <w:overflowPunct/>
              <w:topLinePunct w:val="0"/>
              <w:autoSpaceDE/>
              <w:autoSpaceDN/>
              <w:bidi w:val="0"/>
              <w:adjustRightInd/>
              <w:snapToGrid/>
              <w:spacing w:line="360" w:lineRule="auto"/>
              <w:ind w:left="0" w:firstLine="436" w:firstLineChars="200"/>
              <w:textAlignment w:val="auto"/>
              <w:rPr>
                <w:color w:val="000000" w:themeColor="text1"/>
                <w:spacing w:val="-11"/>
                <w:sz w:val="24"/>
                <w:szCs w:val="24"/>
                <w:highlight w:val="none"/>
                <w14:textFill>
                  <w14:solidFill>
                    <w14:schemeClr w14:val="tx1"/>
                  </w14:solidFill>
                </w14:textFill>
              </w:rPr>
            </w:pPr>
            <w:r>
              <w:rPr>
                <w:color w:val="000000" w:themeColor="text1"/>
                <w:spacing w:val="-11"/>
                <w:sz w:val="24"/>
                <w:szCs w:val="24"/>
                <w:highlight w:val="none"/>
                <w14:textFill>
                  <w14:solidFill>
                    <w14:schemeClr w14:val="tx1"/>
                  </w14:solidFill>
                </w14:textFill>
              </w:rPr>
              <w:t>(5)投标人不存在第二章“投标人须知”第1.4.3项或第1.4.4项规定的任何一种情形。</w:t>
            </w:r>
          </w:p>
          <w:p w14:paraId="7655FB56">
            <w:pPr>
              <w:pStyle w:val="11"/>
              <w:keepNext w:val="0"/>
              <w:keepLines w:val="0"/>
              <w:pageBreakBefore w:val="0"/>
              <w:widowControl w:val="0"/>
              <w:kinsoku/>
              <w:wordWrap/>
              <w:overflowPunct/>
              <w:topLinePunct w:val="0"/>
              <w:autoSpaceDE/>
              <w:autoSpaceDN/>
              <w:bidi w:val="0"/>
              <w:adjustRightInd/>
              <w:snapToGrid/>
              <w:spacing w:line="360" w:lineRule="auto"/>
              <w:ind w:left="0" w:firstLine="436" w:firstLineChars="200"/>
              <w:textAlignment w:val="auto"/>
              <w:rPr>
                <w:rFonts w:hint="default"/>
                <w:color w:val="000000" w:themeColor="text1"/>
                <w:spacing w:val="-4"/>
                <w:sz w:val="24"/>
                <w:szCs w:val="24"/>
                <w:highlight w:val="none"/>
                <w14:textFill>
                  <w14:solidFill>
                    <w14:schemeClr w14:val="tx1"/>
                  </w14:solidFill>
                </w14:textFill>
              </w:rPr>
            </w:pPr>
            <w:r>
              <w:rPr>
                <w:color w:val="000000" w:themeColor="text1"/>
                <w:spacing w:val="-11"/>
                <w:sz w:val="24"/>
                <w:szCs w:val="24"/>
                <w:highlight w:val="none"/>
                <w14:textFill>
                  <w14:solidFill>
                    <w14:schemeClr w14:val="tx1"/>
                  </w14:solidFill>
                </w14:textFill>
              </w:rPr>
              <w:t>投标文件未满足以上任一条件或未按投标人须知前附表附录提供资格</w:t>
            </w:r>
            <w:r>
              <w:rPr>
                <w:color w:val="000000" w:themeColor="text1"/>
                <w:spacing w:val="-1"/>
                <w:sz w:val="24"/>
                <w:szCs w:val="24"/>
                <w:highlight w:val="none"/>
                <w14:textFill>
                  <w14:solidFill>
                    <w14:schemeClr w14:val="tx1"/>
                  </w14:solidFill>
                </w14:textFill>
              </w:rPr>
              <w:t>审查资</w:t>
            </w:r>
            <w:r>
              <w:rPr>
                <w:color w:val="000000" w:themeColor="text1"/>
                <w:sz w:val="24"/>
                <w:szCs w:val="24"/>
                <w:highlight w:val="none"/>
                <w14:textFill>
                  <w14:solidFill>
                    <w14:schemeClr w14:val="tx1"/>
                  </w14:solidFill>
                </w14:textFill>
              </w:rPr>
              <w:t>料证明材料的，其投标视为无效，评标委员</w:t>
            </w:r>
            <w:r>
              <w:rPr>
                <w:color w:val="000000" w:themeColor="text1"/>
                <w:spacing w:val="-1"/>
                <w:sz w:val="24"/>
                <w:szCs w:val="24"/>
                <w:highlight w:val="none"/>
                <w14:textFill>
                  <w14:solidFill>
                    <w14:schemeClr w14:val="tx1"/>
                  </w14:solidFill>
                </w14:textFill>
              </w:rPr>
              <w:t>会将否决其投标。</w:t>
            </w:r>
          </w:p>
        </w:tc>
      </w:tr>
    </w:tbl>
    <w:p w14:paraId="7591ED4F">
      <w:pPr>
        <w:rPr>
          <w:rFonts w:hint="default"/>
          <w:color w:val="000000" w:themeColor="text1"/>
          <w:highlight w:val="none"/>
          <w14:textFill>
            <w14:solidFill>
              <w14:schemeClr w14:val="tx1"/>
            </w14:solidFill>
          </w14:textFill>
        </w:rPr>
      </w:pPr>
      <w:bookmarkStart w:id="7" w:name="_Toc14499"/>
      <w:bookmarkStart w:id="8" w:name="_Toc19630"/>
    </w:p>
    <w:p w14:paraId="19EE6513">
      <w:pPr>
        <w:rPr>
          <w:rFonts w:hint="default"/>
          <w:color w:val="000000" w:themeColor="text1"/>
          <w:highlight w:val="none"/>
          <w14:textFill>
            <w14:solidFill>
              <w14:schemeClr w14:val="tx1"/>
            </w14:solidFill>
          </w14:textFill>
        </w:rPr>
      </w:pPr>
    </w:p>
    <w:tbl>
      <w:tblPr>
        <w:tblStyle w:val="12"/>
        <w:tblW w:w="9206"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4"/>
        <w:gridCol w:w="1698"/>
        <w:gridCol w:w="6514"/>
      </w:tblGrid>
      <w:tr w14:paraId="2857F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blHeader/>
        </w:trPr>
        <w:tc>
          <w:tcPr>
            <w:tcW w:w="994" w:type="dxa"/>
            <w:vAlign w:val="top"/>
          </w:tcPr>
          <w:p w14:paraId="02B39FC6">
            <w:pPr>
              <w:pStyle w:val="11"/>
              <w:spacing w:before="163" w:line="200" w:lineRule="auto"/>
              <w:ind w:left="75"/>
              <w:rPr>
                <w:color w:val="000000" w:themeColor="text1"/>
                <w:sz w:val="23"/>
                <w:szCs w:val="23"/>
                <w:highlight w:val="none"/>
                <w14:textFill>
                  <w14:solidFill>
                    <w14:schemeClr w14:val="tx1"/>
                  </w14:solidFill>
                </w14:textFill>
              </w:rPr>
            </w:pPr>
            <w:r>
              <w:rPr>
                <w:color w:val="000000" w:themeColor="text1"/>
                <w:spacing w:val="4"/>
                <w:sz w:val="23"/>
                <w:szCs w:val="23"/>
                <w:highlight w:val="none"/>
                <w14:textFill>
                  <w14:solidFill>
                    <w14:schemeClr w14:val="tx1"/>
                  </w14:solidFill>
                </w14:textFill>
              </w:rPr>
              <w:t>条款号</w:t>
            </w:r>
          </w:p>
        </w:tc>
        <w:tc>
          <w:tcPr>
            <w:tcW w:w="1698" w:type="dxa"/>
            <w:vAlign w:val="top"/>
          </w:tcPr>
          <w:p w14:paraId="2A704FBE">
            <w:pPr>
              <w:pStyle w:val="11"/>
              <w:spacing w:before="173" w:line="192" w:lineRule="auto"/>
              <w:ind w:left="381"/>
              <w:rPr>
                <w:color w:val="000000" w:themeColor="text1"/>
                <w:sz w:val="23"/>
                <w:szCs w:val="23"/>
                <w:highlight w:val="none"/>
                <w14:textFill>
                  <w14:solidFill>
                    <w14:schemeClr w14:val="tx1"/>
                  </w14:solidFill>
                </w14:textFill>
              </w:rPr>
            </w:pPr>
            <w:r>
              <w:rPr>
                <w:color w:val="000000" w:themeColor="text1"/>
                <w:spacing w:val="2"/>
                <w:sz w:val="23"/>
                <w:szCs w:val="23"/>
                <w:highlight w:val="none"/>
                <w14:textFill>
                  <w14:solidFill>
                    <w14:schemeClr w14:val="tx1"/>
                  </w14:solidFill>
                </w14:textFill>
              </w:rPr>
              <w:t>条款内容</w:t>
            </w:r>
          </w:p>
        </w:tc>
        <w:tc>
          <w:tcPr>
            <w:tcW w:w="6514" w:type="dxa"/>
            <w:vAlign w:val="top"/>
          </w:tcPr>
          <w:p w14:paraId="179DFF01">
            <w:pPr>
              <w:pStyle w:val="11"/>
              <w:spacing w:before="173" w:line="192" w:lineRule="auto"/>
              <w:ind w:left="2903"/>
              <w:rPr>
                <w:color w:val="000000" w:themeColor="text1"/>
                <w:sz w:val="23"/>
                <w:szCs w:val="23"/>
                <w:highlight w:val="none"/>
                <w14:textFill>
                  <w14:solidFill>
                    <w14:schemeClr w14:val="tx1"/>
                  </w14:solidFill>
                </w14:textFill>
              </w:rPr>
            </w:pPr>
            <w:r>
              <w:rPr>
                <w:color w:val="000000" w:themeColor="text1"/>
                <w:spacing w:val="2"/>
                <w:sz w:val="23"/>
                <w:szCs w:val="23"/>
                <w:highlight w:val="none"/>
                <w14:textFill>
                  <w14:solidFill>
                    <w14:schemeClr w14:val="tx1"/>
                  </w14:solidFill>
                </w14:textFill>
              </w:rPr>
              <w:t>编列内容</w:t>
            </w:r>
          </w:p>
        </w:tc>
      </w:tr>
      <w:tr w14:paraId="5A177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3" w:hRule="atLeast"/>
        </w:trPr>
        <w:tc>
          <w:tcPr>
            <w:tcW w:w="994" w:type="dxa"/>
            <w:vAlign w:val="top"/>
          </w:tcPr>
          <w:p w14:paraId="184FFE3C">
            <w:pPr>
              <w:spacing w:line="274" w:lineRule="auto"/>
              <w:rPr>
                <w:rFonts w:ascii="Arial"/>
                <w:color w:val="000000" w:themeColor="text1"/>
                <w:sz w:val="24"/>
                <w:szCs w:val="24"/>
                <w:highlight w:val="none"/>
                <w14:textFill>
                  <w14:solidFill>
                    <w14:schemeClr w14:val="tx1"/>
                  </w14:solidFill>
                </w14:textFill>
              </w:rPr>
            </w:pPr>
          </w:p>
          <w:p w14:paraId="391B958F">
            <w:pPr>
              <w:spacing w:line="275" w:lineRule="auto"/>
              <w:rPr>
                <w:rFonts w:ascii="Arial"/>
                <w:color w:val="000000" w:themeColor="text1"/>
                <w:sz w:val="24"/>
                <w:szCs w:val="24"/>
                <w:highlight w:val="none"/>
                <w14:textFill>
                  <w14:solidFill>
                    <w14:schemeClr w14:val="tx1"/>
                  </w14:solidFill>
                </w14:textFill>
              </w:rPr>
            </w:pPr>
          </w:p>
          <w:p w14:paraId="352676CF">
            <w:pPr>
              <w:spacing w:line="275" w:lineRule="auto"/>
              <w:rPr>
                <w:rFonts w:ascii="Arial"/>
                <w:color w:val="000000" w:themeColor="text1"/>
                <w:sz w:val="24"/>
                <w:szCs w:val="24"/>
                <w:highlight w:val="none"/>
                <w14:textFill>
                  <w14:solidFill>
                    <w14:schemeClr w14:val="tx1"/>
                  </w14:solidFill>
                </w14:textFill>
              </w:rPr>
            </w:pPr>
          </w:p>
          <w:p w14:paraId="1F2B50D8">
            <w:pPr>
              <w:pStyle w:val="11"/>
              <w:spacing w:before="74" w:line="239" w:lineRule="auto"/>
              <w:ind w:left="135"/>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2.2.1</w:t>
            </w:r>
          </w:p>
        </w:tc>
        <w:tc>
          <w:tcPr>
            <w:tcW w:w="1698" w:type="dxa"/>
            <w:vAlign w:val="center"/>
          </w:tcPr>
          <w:p w14:paraId="0468BC9D">
            <w:pPr>
              <w:pStyle w:val="11"/>
              <w:spacing w:before="75" w:line="219" w:lineRule="auto"/>
              <w:jc w:val="center"/>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第一个信封评分</w:t>
            </w:r>
            <w:r>
              <w:rPr>
                <w:color w:val="000000" w:themeColor="text1"/>
                <w:spacing w:val="2"/>
                <w:sz w:val="24"/>
                <w:szCs w:val="24"/>
                <w:highlight w:val="none"/>
                <w14:textFill>
                  <w14:solidFill>
                    <w14:schemeClr w14:val="tx1"/>
                  </w14:solidFill>
                </w14:textFill>
              </w:rPr>
              <w:t>分值构成</w:t>
            </w:r>
          </w:p>
          <w:p w14:paraId="030A4B07">
            <w:pPr>
              <w:pStyle w:val="11"/>
              <w:spacing w:before="157" w:line="220" w:lineRule="auto"/>
              <w:ind w:left="201"/>
              <w:jc w:val="center"/>
              <w:rPr>
                <w:color w:val="000000" w:themeColor="text1"/>
                <w:sz w:val="24"/>
                <w:szCs w:val="24"/>
                <w:highlight w:val="none"/>
                <w14:textFill>
                  <w14:solidFill>
                    <w14:schemeClr w14:val="tx1"/>
                  </w14:solidFill>
                </w14:textFill>
              </w:rPr>
            </w:pPr>
            <w:r>
              <w:rPr>
                <w:color w:val="000000" w:themeColor="text1"/>
                <w:spacing w:val="6"/>
                <w:sz w:val="24"/>
                <w:szCs w:val="24"/>
                <w:highlight w:val="none"/>
                <w14:textFill>
                  <w14:solidFill>
                    <w14:schemeClr w14:val="tx1"/>
                  </w14:solidFill>
                </w14:textFill>
              </w:rPr>
              <w:t>(总分100分)</w:t>
            </w:r>
          </w:p>
        </w:tc>
        <w:tc>
          <w:tcPr>
            <w:tcW w:w="6514" w:type="dxa"/>
            <w:vAlign w:val="top"/>
          </w:tcPr>
          <w:p w14:paraId="247D2B53">
            <w:pPr>
              <w:pStyle w:val="11"/>
              <w:spacing w:before="142" w:line="220" w:lineRule="auto"/>
              <w:ind w:left="213"/>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(1)施工组织设计：</w:t>
            </w:r>
            <w:r>
              <w:rPr>
                <w:color w:val="000000" w:themeColor="text1"/>
                <w:spacing w:val="-2"/>
                <w:sz w:val="24"/>
                <w:szCs w:val="24"/>
                <w:highlight w:val="none"/>
                <w:u w:val="single" w:color="auto"/>
                <w14:textFill>
                  <w14:solidFill>
                    <w14:schemeClr w14:val="tx1"/>
                  </w14:solidFill>
                </w14:textFill>
              </w:rPr>
              <w:t>25</w:t>
            </w:r>
            <w:r>
              <w:rPr>
                <w:color w:val="000000" w:themeColor="text1"/>
                <w:spacing w:val="-2"/>
                <w:sz w:val="24"/>
                <w:szCs w:val="24"/>
                <w:highlight w:val="none"/>
                <w14:textFill>
                  <w14:solidFill>
                    <w14:schemeClr w14:val="tx1"/>
                  </w14:solidFill>
                </w14:textFill>
              </w:rPr>
              <w:t>分；</w:t>
            </w:r>
          </w:p>
          <w:p w14:paraId="7DEFB83D">
            <w:pPr>
              <w:pStyle w:val="11"/>
              <w:spacing w:before="115" w:line="220" w:lineRule="auto"/>
              <w:ind w:left="213"/>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(2)主要人员：</w:t>
            </w:r>
            <w:r>
              <w:rPr>
                <w:color w:val="000000" w:themeColor="text1"/>
                <w:spacing w:val="-2"/>
                <w:sz w:val="24"/>
                <w:szCs w:val="24"/>
                <w:highlight w:val="none"/>
                <w:u w:val="single" w:color="auto"/>
                <w14:textFill>
                  <w14:solidFill>
                    <w14:schemeClr w14:val="tx1"/>
                  </w14:solidFill>
                </w14:textFill>
              </w:rPr>
              <w:t>25</w:t>
            </w:r>
            <w:r>
              <w:rPr>
                <w:color w:val="000000" w:themeColor="text1"/>
                <w:spacing w:val="-2"/>
                <w:sz w:val="24"/>
                <w:szCs w:val="24"/>
                <w:highlight w:val="none"/>
                <w14:textFill>
                  <w14:solidFill>
                    <w14:schemeClr w14:val="tx1"/>
                  </w14:solidFill>
                </w14:textFill>
              </w:rPr>
              <w:t>分；</w:t>
            </w:r>
          </w:p>
          <w:p w14:paraId="4E56D850">
            <w:pPr>
              <w:pStyle w:val="11"/>
              <w:spacing w:before="125" w:line="219" w:lineRule="auto"/>
              <w:ind w:left="213"/>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(3)技术能力</w:t>
            </w:r>
            <w:r>
              <w:rPr>
                <w:color w:val="000000" w:themeColor="text1"/>
                <w:spacing w:val="-2"/>
                <w:sz w:val="24"/>
                <w:szCs w:val="24"/>
                <w:highlight w:val="none"/>
                <w:u w:val="single" w:color="auto"/>
                <w14:textFill>
                  <w14:solidFill>
                    <w14:schemeClr w14:val="tx1"/>
                  </w14:solidFill>
                </w14:textFill>
              </w:rPr>
              <w:t>：10</w:t>
            </w:r>
            <w:r>
              <w:rPr>
                <w:color w:val="000000" w:themeColor="text1"/>
                <w:spacing w:val="-2"/>
                <w:sz w:val="24"/>
                <w:szCs w:val="24"/>
                <w:highlight w:val="none"/>
                <w14:textFill>
                  <w14:solidFill>
                    <w14:schemeClr w14:val="tx1"/>
                  </w14:solidFill>
                </w14:textFill>
              </w:rPr>
              <w:t>分；</w:t>
            </w:r>
          </w:p>
          <w:p w14:paraId="162D72A5">
            <w:pPr>
              <w:pStyle w:val="11"/>
              <w:spacing w:before="125" w:line="219" w:lineRule="auto"/>
              <w:ind w:left="213"/>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(4)履约信誉：</w:t>
            </w:r>
            <w:r>
              <w:rPr>
                <w:color w:val="000000" w:themeColor="text1"/>
                <w:spacing w:val="-2"/>
                <w:sz w:val="24"/>
                <w:szCs w:val="24"/>
                <w:highlight w:val="none"/>
                <w:u w:val="single" w:color="auto"/>
                <w14:textFill>
                  <w14:solidFill>
                    <w14:schemeClr w14:val="tx1"/>
                  </w14:solidFill>
                </w14:textFill>
              </w:rPr>
              <w:t>20</w:t>
            </w:r>
            <w:r>
              <w:rPr>
                <w:color w:val="000000" w:themeColor="text1"/>
                <w:spacing w:val="-2"/>
                <w:sz w:val="24"/>
                <w:szCs w:val="24"/>
                <w:highlight w:val="none"/>
                <w14:textFill>
                  <w14:solidFill>
                    <w14:schemeClr w14:val="tx1"/>
                  </w14:solidFill>
                </w14:textFill>
              </w:rPr>
              <w:t>分；</w:t>
            </w:r>
          </w:p>
          <w:p w14:paraId="139D05BB">
            <w:pPr>
              <w:pStyle w:val="11"/>
              <w:spacing w:before="119" w:line="201" w:lineRule="auto"/>
              <w:ind w:left="213"/>
              <w:rPr>
                <w:color w:val="000000" w:themeColor="text1"/>
                <w:sz w:val="24"/>
                <w:szCs w:val="24"/>
                <w:highlight w:val="none"/>
                <w14:textFill>
                  <w14:solidFill>
                    <w14:schemeClr w14:val="tx1"/>
                  </w14:solidFill>
                </w14:textFill>
              </w:rPr>
            </w:pPr>
            <w:r>
              <w:rPr>
                <w:color w:val="000000" w:themeColor="text1"/>
                <w:spacing w:val="-1"/>
                <w:sz w:val="24"/>
                <w:szCs w:val="24"/>
                <w:highlight w:val="none"/>
                <w14:textFill>
                  <w14:solidFill>
                    <w14:schemeClr w14:val="tx1"/>
                  </w14:solidFill>
                </w14:textFill>
              </w:rPr>
              <w:t>(5)企业业绩：20分。</w:t>
            </w:r>
          </w:p>
        </w:tc>
      </w:tr>
      <w:tr w14:paraId="36D57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994" w:type="dxa"/>
            <w:vAlign w:val="top"/>
          </w:tcPr>
          <w:p w14:paraId="1498BFFB">
            <w:pPr>
              <w:pStyle w:val="11"/>
              <w:spacing w:before="181" w:line="168" w:lineRule="auto"/>
              <w:ind w:left="135" w:leftChars="0"/>
              <w:rPr>
                <w:color w:val="000000" w:themeColor="text1"/>
                <w:spacing w:val="-2"/>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2.2.3</w:t>
            </w:r>
          </w:p>
        </w:tc>
        <w:tc>
          <w:tcPr>
            <w:tcW w:w="1698" w:type="dxa"/>
            <w:vAlign w:val="center"/>
          </w:tcPr>
          <w:p w14:paraId="0B2AE80C">
            <w:pPr>
              <w:pStyle w:val="11"/>
              <w:spacing w:before="75" w:line="219" w:lineRule="auto"/>
              <w:jc w:val="center"/>
              <w:rPr>
                <w:color w:val="000000" w:themeColor="text1"/>
                <w:spacing w:val="-2"/>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第二个信封评分分值构成</w:t>
            </w:r>
          </w:p>
          <w:p w14:paraId="5FF9AE02">
            <w:pPr>
              <w:pStyle w:val="11"/>
              <w:spacing w:before="75" w:line="219" w:lineRule="auto"/>
              <w:jc w:val="center"/>
              <w:rPr>
                <w:color w:val="000000" w:themeColor="text1"/>
                <w:spacing w:val="-2"/>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(总分100分)</w:t>
            </w:r>
          </w:p>
        </w:tc>
        <w:tc>
          <w:tcPr>
            <w:tcW w:w="6514" w:type="dxa"/>
            <w:vAlign w:val="center"/>
          </w:tcPr>
          <w:p w14:paraId="66B8EFFD">
            <w:pPr>
              <w:pStyle w:val="11"/>
              <w:spacing w:before="75" w:line="219" w:lineRule="auto"/>
              <w:jc w:val="both"/>
              <w:rPr>
                <w:color w:val="000000" w:themeColor="text1"/>
                <w:spacing w:val="-2"/>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评标价：100分</w:t>
            </w:r>
          </w:p>
          <w:p w14:paraId="7BF15915">
            <w:pPr>
              <w:pStyle w:val="11"/>
              <w:spacing w:before="75" w:line="219" w:lineRule="auto"/>
              <w:jc w:val="both"/>
              <w:rPr>
                <w:color w:val="000000" w:themeColor="text1"/>
                <w:spacing w:val="-2"/>
                <w:sz w:val="24"/>
                <w:szCs w:val="24"/>
                <w:highlight w:val="none"/>
                <w14:textFill>
                  <w14:solidFill>
                    <w14:schemeClr w14:val="tx1"/>
                  </w14:solidFill>
                </w14:textFill>
              </w:rPr>
            </w:pPr>
            <w:r>
              <w:rPr>
                <w:b/>
                <w:bCs/>
                <w:color w:val="000000" w:themeColor="text1"/>
                <w:spacing w:val="-2"/>
                <w:sz w:val="24"/>
                <w:szCs w:val="24"/>
                <w:highlight w:val="none"/>
                <w14:textFill>
                  <w14:solidFill>
                    <w14:schemeClr w14:val="tx1"/>
                  </w14:solidFill>
                </w14:textFill>
              </w:rPr>
              <w:t>评标价计算公式：评标价(经评审的投标价)=投标函文字报价</w:t>
            </w:r>
          </w:p>
        </w:tc>
      </w:tr>
      <w:tr w14:paraId="54EB6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994" w:type="dxa"/>
            <w:vAlign w:val="top"/>
          </w:tcPr>
          <w:p w14:paraId="5DC8CD35">
            <w:pPr>
              <w:spacing w:line="248" w:lineRule="auto"/>
              <w:rPr>
                <w:rFonts w:ascii="Arial"/>
                <w:color w:val="000000" w:themeColor="text1"/>
                <w:sz w:val="24"/>
                <w:szCs w:val="24"/>
                <w:highlight w:val="none"/>
                <w14:textFill>
                  <w14:solidFill>
                    <w14:schemeClr w14:val="tx1"/>
                  </w14:solidFill>
                </w14:textFill>
              </w:rPr>
            </w:pPr>
          </w:p>
          <w:p w14:paraId="392C0650">
            <w:pPr>
              <w:spacing w:line="248" w:lineRule="auto"/>
              <w:rPr>
                <w:rFonts w:ascii="Arial"/>
                <w:color w:val="000000" w:themeColor="text1"/>
                <w:sz w:val="24"/>
                <w:szCs w:val="24"/>
                <w:highlight w:val="none"/>
                <w14:textFill>
                  <w14:solidFill>
                    <w14:schemeClr w14:val="tx1"/>
                  </w14:solidFill>
                </w14:textFill>
              </w:rPr>
            </w:pPr>
          </w:p>
          <w:p w14:paraId="4C8AB104">
            <w:pPr>
              <w:spacing w:line="248" w:lineRule="auto"/>
              <w:rPr>
                <w:rFonts w:ascii="Arial"/>
                <w:color w:val="000000" w:themeColor="text1"/>
                <w:sz w:val="24"/>
                <w:szCs w:val="24"/>
                <w:highlight w:val="none"/>
                <w14:textFill>
                  <w14:solidFill>
                    <w14:schemeClr w14:val="tx1"/>
                  </w14:solidFill>
                </w14:textFill>
              </w:rPr>
            </w:pPr>
          </w:p>
          <w:p w14:paraId="0DF4925B">
            <w:pPr>
              <w:spacing w:line="248" w:lineRule="auto"/>
              <w:rPr>
                <w:rFonts w:ascii="Arial"/>
                <w:color w:val="000000" w:themeColor="text1"/>
                <w:sz w:val="24"/>
                <w:szCs w:val="24"/>
                <w:highlight w:val="none"/>
                <w14:textFill>
                  <w14:solidFill>
                    <w14:schemeClr w14:val="tx1"/>
                  </w14:solidFill>
                </w14:textFill>
              </w:rPr>
            </w:pPr>
          </w:p>
          <w:p w14:paraId="36751B7E">
            <w:pPr>
              <w:spacing w:line="248" w:lineRule="auto"/>
              <w:rPr>
                <w:rFonts w:ascii="Arial"/>
                <w:color w:val="000000" w:themeColor="text1"/>
                <w:sz w:val="24"/>
                <w:szCs w:val="24"/>
                <w:highlight w:val="none"/>
                <w14:textFill>
                  <w14:solidFill>
                    <w14:schemeClr w14:val="tx1"/>
                  </w14:solidFill>
                </w14:textFill>
              </w:rPr>
            </w:pPr>
          </w:p>
          <w:p w14:paraId="4C3E942F">
            <w:pPr>
              <w:spacing w:line="248" w:lineRule="auto"/>
              <w:rPr>
                <w:rFonts w:ascii="Arial"/>
                <w:color w:val="000000" w:themeColor="text1"/>
                <w:sz w:val="24"/>
                <w:szCs w:val="24"/>
                <w:highlight w:val="none"/>
                <w14:textFill>
                  <w14:solidFill>
                    <w14:schemeClr w14:val="tx1"/>
                  </w14:solidFill>
                </w14:textFill>
              </w:rPr>
            </w:pPr>
          </w:p>
          <w:p w14:paraId="5FCC2B0B">
            <w:pPr>
              <w:spacing w:line="248" w:lineRule="auto"/>
              <w:rPr>
                <w:rFonts w:ascii="Arial"/>
                <w:color w:val="000000" w:themeColor="text1"/>
                <w:sz w:val="24"/>
                <w:szCs w:val="24"/>
                <w:highlight w:val="none"/>
                <w14:textFill>
                  <w14:solidFill>
                    <w14:schemeClr w14:val="tx1"/>
                  </w14:solidFill>
                </w14:textFill>
              </w:rPr>
            </w:pPr>
          </w:p>
          <w:p w14:paraId="6B2A87AA">
            <w:pPr>
              <w:spacing w:line="248" w:lineRule="auto"/>
              <w:rPr>
                <w:rFonts w:ascii="Arial"/>
                <w:color w:val="000000" w:themeColor="text1"/>
                <w:sz w:val="24"/>
                <w:szCs w:val="24"/>
                <w:highlight w:val="none"/>
                <w14:textFill>
                  <w14:solidFill>
                    <w14:schemeClr w14:val="tx1"/>
                  </w14:solidFill>
                </w14:textFill>
              </w:rPr>
            </w:pPr>
          </w:p>
          <w:p w14:paraId="4BD83B1F">
            <w:pPr>
              <w:spacing w:line="248" w:lineRule="auto"/>
              <w:rPr>
                <w:rFonts w:ascii="Arial"/>
                <w:color w:val="000000" w:themeColor="text1"/>
                <w:sz w:val="24"/>
                <w:szCs w:val="24"/>
                <w:highlight w:val="none"/>
                <w14:textFill>
                  <w14:solidFill>
                    <w14:schemeClr w14:val="tx1"/>
                  </w14:solidFill>
                </w14:textFill>
              </w:rPr>
            </w:pPr>
          </w:p>
          <w:p w14:paraId="317E62C1">
            <w:pPr>
              <w:spacing w:line="248" w:lineRule="auto"/>
              <w:rPr>
                <w:rFonts w:ascii="Arial"/>
                <w:color w:val="000000" w:themeColor="text1"/>
                <w:sz w:val="24"/>
                <w:szCs w:val="24"/>
                <w:highlight w:val="none"/>
                <w14:textFill>
                  <w14:solidFill>
                    <w14:schemeClr w14:val="tx1"/>
                  </w14:solidFill>
                </w14:textFill>
              </w:rPr>
            </w:pPr>
          </w:p>
          <w:p w14:paraId="3BF74038">
            <w:pPr>
              <w:spacing w:line="248" w:lineRule="auto"/>
              <w:rPr>
                <w:rFonts w:ascii="Arial"/>
                <w:color w:val="000000" w:themeColor="text1"/>
                <w:sz w:val="24"/>
                <w:szCs w:val="24"/>
                <w:highlight w:val="none"/>
                <w14:textFill>
                  <w14:solidFill>
                    <w14:schemeClr w14:val="tx1"/>
                  </w14:solidFill>
                </w14:textFill>
              </w:rPr>
            </w:pPr>
          </w:p>
          <w:p w14:paraId="0E1D0968">
            <w:pPr>
              <w:spacing w:line="248" w:lineRule="auto"/>
              <w:rPr>
                <w:rFonts w:ascii="Arial"/>
                <w:color w:val="000000" w:themeColor="text1"/>
                <w:sz w:val="24"/>
                <w:szCs w:val="24"/>
                <w:highlight w:val="none"/>
                <w14:textFill>
                  <w14:solidFill>
                    <w14:schemeClr w14:val="tx1"/>
                  </w14:solidFill>
                </w14:textFill>
              </w:rPr>
            </w:pPr>
          </w:p>
          <w:p w14:paraId="6B9C9AE9">
            <w:pPr>
              <w:spacing w:line="249" w:lineRule="auto"/>
              <w:rPr>
                <w:rFonts w:ascii="Arial"/>
                <w:color w:val="000000" w:themeColor="text1"/>
                <w:sz w:val="24"/>
                <w:szCs w:val="24"/>
                <w:highlight w:val="none"/>
                <w14:textFill>
                  <w14:solidFill>
                    <w14:schemeClr w14:val="tx1"/>
                  </w14:solidFill>
                </w14:textFill>
              </w:rPr>
            </w:pPr>
          </w:p>
          <w:p w14:paraId="57655975">
            <w:pPr>
              <w:spacing w:line="249" w:lineRule="auto"/>
              <w:rPr>
                <w:rFonts w:ascii="Arial"/>
                <w:color w:val="000000" w:themeColor="text1"/>
                <w:sz w:val="24"/>
                <w:szCs w:val="24"/>
                <w:highlight w:val="none"/>
                <w14:textFill>
                  <w14:solidFill>
                    <w14:schemeClr w14:val="tx1"/>
                  </w14:solidFill>
                </w14:textFill>
              </w:rPr>
            </w:pPr>
          </w:p>
          <w:p w14:paraId="555DFAF4">
            <w:pPr>
              <w:spacing w:line="249" w:lineRule="auto"/>
              <w:rPr>
                <w:rFonts w:ascii="Arial"/>
                <w:color w:val="000000" w:themeColor="text1"/>
                <w:sz w:val="24"/>
                <w:szCs w:val="24"/>
                <w:highlight w:val="none"/>
                <w14:textFill>
                  <w14:solidFill>
                    <w14:schemeClr w14:val="tx1"/>
                  </w14:solidFill>
                </w14:textFill>
              </w:rPr>
            </w:pPr>
          </w:p>
          <w:p w14:paraId="04327689">
            <w:pPr>
              <w:spacing w:line="249" w:lineRule="auto"/>
              <w:rPr>
                <w:rFonts w:ascii="Arial"/>
                <w:color w:val="000000" w:themeColor="text1"/>
                <w:sz w:val="24"/>
                <w:szCs w:val="24"/>
                <w:highlight w:val="none"/>
                <w14:textFill>
                  <w14:solidFill>
                    <w14:schemeClr w14:val="tx1"/>
                  </w14:solidFill>
                </w14:textFill>
              </w:rPr>
            </w:pPr>
          </w:p>
          <w:p w14:paraId="5AA9948C">
            <w:pPr>
              <w:spacing w:line="249" w:lineRule="auto"/>
              <w:rPr>
                <w:rFonts w:ascii="Arial"/>
                <w:color w:val="000000" w:themeColor="text1"/>
                <w:sz w:val="24"/>
                <w:szCs w:val="24"/>
                <w:highlight w:val="none"/>
                <w14:textFill>
                  <w14:solidFill>
                    <w14:schemeClr w14:val="tx1"/>
                  </w14:solidFill>
                </w14:textFill>
              </w:rPr>
            </w:pPr>
          </w:p>
          <w:p w14:paraId="24B15AD7">
            <w:pPr>
              <w:spacing w:line="249" w:lineRule="auto"/>
              <w:rPr>
                <w:rFonts w:ascii="Arial"/>
                <w:color w:val="000000" w:themeColor="text1"/>
                <w:sz w:val="24"/>
                <w:szCs w:val="24"/>
                <w:highlight w:val="none"/>
                <w14:textFill>
                  <w14:solidFill>
                    <w14:schemeClr w14:val="tx1"/>
                  </w14:solidFill>
                </w14:textFill>
              </w:rPr>
            </w:pPr>
          </w:p>
          <w:p w14:paraId="2A894DCC">
            <w:pPr>
              <w:spacing w:line="249" w:lineRule="auto"/>
              <w:rPr>
                <w:rFonts w:ascii="Arial"/>
                <w:color w:val="000000" w:themeColor="text1"/>
                <w:sz w:val="24"/>
                <w:szCs w:val="24"/>
                <w:highlight w:val="none"/>
                <w14:textFill>
                  <w14:solidFill>
                    <w14:schemeClr w14:val="tx1"/>
                  </w14:solidFill>
                </w14:textFill>
              </w:rPr>
            </w:pPr>
          </w:p>
          <w:p w14:paraId="59306F16">
            <w:pPr>
              <w:spacing w:line="249" w:lineRule="auto"/>
              <w:rPr>
                <w:rFonts w:ascii="Arial"/>
                <w:color w:val="000000" w:themeColor="text1"/>
                <w:sz w:val="24"/>
                <w:szCs w:val="24"/>
                <w:highlight w:val="none"/>
                <w14:textFill>
                  <w14:solidFill>
                    <w14:schemeClr w14:val="tx1"/>
                  </w14:solidFill>
                </w14:textFill>
              </w:rPr>
            </w:pPr>
          </w:p>
          <w:p w14:paraId="13B7C688">
            <w:pPr>
              <w:spacing w:line="249" w:lineRule="auto"/>
              <w:rPr>
                <w:rFonts w:ascii="Arial"/>
                <w:color w:val="000000" w:themeColor="text1"/>
                <w:sz w:val="24"/>
                <w:szCs w:val="24"/>
                <w:highlight w:val="none"/>
                <w14:textFill>
                  <w14:solidFill>
                    <w14:schemeClr w14:val="tx1"/>
                  </w14:solidFill>
                </w14:textFill>
              </w:rPr>
            </w:pPr>
          </w:p>
          <w:p w14:paraId="12422F82">
            <w:pPr>
              <w:spacing w:line="249" w:lineRule="auto"/>
              <w:rPr>
                <w:rFonts w:ascii="Arial"/>
                <w:color w:val="000000" w:themeColor="text1"/>
                <w:sz w:val="24"/>
                <w:szCs w:val="24"/>
                <w:highlight w:val="none"/>
                <w14:textFill>
                  <w14:solidFill>
                    <w14:schemeClr w14:val="tx1"/>
                  </w14:solidFill>
                </w14:textFill>
              </w:rPr>
            </w:pPr>
          </w:p>
          <w:p w14:paraId="3CEAB62E">
            <w:pPr>
              <w:spacing w:line="249" w:lineRule="auto"/>
              <w:rPr>
                <w:rFonts w:ascii="Arial"/>
                <w:color w:val="000000" w:themeColor="text1"/>
                <w:sz w:val="24"/>
                <w:szCs w:val="24"/>
                <w:highlight w:val="none"/>
                <w14:textFill>
                  <w14:solidFill>
                    <w14:schemeClr w14:val="tx1"/>
                  </w14:solidFill>
                </w14:textFill>
              </w:rPr>
            </w:pPr>
          </w:p>
          <w:p w14:paraId="5177FD6C">
            <w:pPr>
              <w:spacing w:line="249" w:lineRule="auto"/>
              <w:rPr>
                <w:rFonts w:ascii="Arial"/>
                <w:color w:val="000000" w:themeColor="text1"/>
                <w:sz w:val="24"/>
                <w:szCs w:val="24"/>
                <w:highlight w:val="none"/>
                <w14:textFill>
                  <w14:solidFill>
                    <w14:schemeClr w14:val="tx1"/>
                  </w14:solidFill>
                </w14:textFill>
              </w:rPr>
            </w:pPr>
          </w:p>
          <w:p w14:paraId="0CE3E455">
            <w:pPr>
              <w:pStyle w:val="11"/>
              <w:spacing w:before="71" w:line="239" w:lineRule="auto"/>
              <w:ind w:left="145" w:leftChars="0"/>
              <w:rPr>
                <w:color w:val="000000" w:themeColor="text1"/>
                <w:spacing w:val="-2"/>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2.2.4</w:t>
            </w:r>
          </w:p>
        </w:tc>
        <w:tc>
          <w:tcPr>
            <w:tcW w:w="1698" w:type="dxa"/>
            <w:vAlign w:val="top"/>
          </w:tcPr>
          <w:p w14:paraId="4F597945">
            <w:pPr>
              <w:rPr>
                <w:rFonts w:ascii="Arial"/>
                <w:color w:val="000000" w:themeColor="text1"/>
                <w:sz w:val="24"/>
                <w:szCs w:val="24"/>
                <w:highlight w:val="none"/>
                <w14:textFill>
                  <w14:solidFill>
                    <w14:schemeClr w14:val="tx1"/>
                  </w14:solidFill>
                </w14:textFill>
              </w:rPr>
            </w:pPr>
          </w:p>
          <w:p w14:paraId="6AB4FAF6">
            <w:pPr>
              <w:rPr>
                <w:rFonts w:ascii="Arial"/>
                <w:color w:val="000000" w:themeColor="text1"/>
                <w:sz w:val="24"/>
                <w:szCs w:val="24"/>
                <w:highlight w:val="none"/>
                <w14:textFill>
                  <w14:solidFill>
                    <w14:schemeClr w14:val="tx1"/>
                  </w14:solidFill>
                </w14:textFill>
              </w:rPr>
            </w:pPr>
          </w:p>
          <w:p w14:paraId="097153C7">
            <w:pPr>
              <w:rPr>
                <w:rFonts w:ascii="Arial"/>
                <w:color w:val="000000" w:themeColor="text1"/>
                <w:sz w:val="24"/>
                <w:szCs w:val="24"/>
                <w:highlight w:val="none"/>
                <w14:textFill>
                  <w14:solidFill>
                    <w14:schemeClr w14:val="tx1"/>
                  </w14:solidFill>
                </w14:textFill>
              </w:rPr>
            </w:pPr>
          </w:p>
          <w:p w14:paraId="4E5B45D4">
            <w:pPr>
              <w:rPr>
                <w:rFonts w:ascii="Arial"/>
                <w:color w:val="000000" w:themeColor="text1"/>
                <w:sz w:val="24"/>
                <w:szCs w:val="24"/>
                <w:highlight w:val="none"/>
                <w14:textFill>
                  <w14:solidFill>
                    <w14:schemeClr w14:val="tx1"/>
                  </w14:solidFill>
                </w14:textFill>
              </w:rPr>
            </w:pPr>
          </w:p>
          <w:p w14:paraId="46A4895E">
            <w:pPr>
              <w:rPr>
                <w:rFonts w:ascii="Arial"/>
                <w:color w:val="000000" w:themeColor="text1"/>
                <w:sz w:val="24"/>
                <w:szCs w:val="24"/>
                <w:highlight w:val="none"/>
                <w14:textFill>
                  <w14:solidFill>
                    <w14:schemeClr w14:val="tx1"/>
                  </w14:solidFill>
                </w14:textFill>
              </w:rPr>
            </w:pPr>
          </w:p>
          <w:p w14:paraId="17357EF7">
            <w:pPr>
              <w:rPr>
                <w:rFonts w:ascii="Arial"/>
                <w:color w:val="000000" w:themeColor="text1"/>
                <w:sz w:val="24"/>
                <w:szCs w:val="24"/>
                <w:highlight w:val="none"/>
                <w14:textFill>
                  <w14:solidFill>
                    <w14:schemeClr w14:val="tx1"/>
                  </w14:solidFill>
                </w14:textFill>
              </w:rPr>
            </w:pPr>
          </w:p>
          <w:p w14:paraId="4B4875B1">
            <w:pPr>
              <w:spacing w:line="241" w:lineRule="auto"/>
              <w:rPr>
                <w:rFonts w:ascii="Arial"/>
                <w:color w:val="000000" w:themeColor="text1"/>
                <w:sz w:val="24"/>
                <w:szCs w:val="24"/>
                <w:highlight w:val="none"/>
                <w14:textFill>
                  <w14:solidFill>
                    <w14:schemeClr w14:val="tx1"/>
                  </w14:solidFill>
                </w14:textFill>
              </w:rPr>
            </w:pPr>
          </w:p>
          <w:p w14:paraId="3CA57C1F">
            <w:pPr>
              <w:spacing w:line="241" w:lineRule="auto"/>
              <w:rPr>
                <w:rFonts w:ascii="Arial"/>
                <w:color w:val="000000" w:themeColor="text1"/>
                <w:sz w:val="24"/>
                <w:szCs w:val="24"/>
                <w:highlight w:val="none"/>
                <w14:textFill>
                  <w14:solidFill>
                    <w14:schemeClr w14:val="tx1"/>
                  </w14:solidFill>
                </w14:textFill>
              </w:rPr>
            </w:pPr>
          </w:p>
          <w:p w14:paraId="4F76DC78">
            <w:pPr>
              <w:spacing w:line="241" w:lineRule="auto"/>
              <w:rPr>
                <w:rFonts w:ascii="Arial"/>
                <w:color w:val="000000" w:themeColor="text1"/>
                <w:sz w:val="24"/>
                <w:szCs w:val="24"/>
                <w:highlight w:val="none"/>
                <w14:textFill>
                  <w14:solidFill>
                    <w14:schemeClr w14:val="tx1"/>
                  </w14:solidFill>
                </w14:textFill>
              </w:rPr>
            </w:pPr>
          </w:p>
          <w:p w14:paraId="21AD9102">
            <w:pPr>
              <w:spacing w:line="241" w:lineRule="auto"/>
              <w:rPr>
                <w:rFonts w:ascii="Arial"/>
                <w:color w:val="000000" w:themeColor="text1"/>
                <w:sz w:val="24"/>
                <w:szCs w:val="24"/>
                <w:highlight w:val="none"/>
                <w14:textFill>
                  <w14:solidFill>
                    <w14:schemeClr w14:val="tx1"/>
                  </w14:solidFill>
                </w14:textFill>
              </w:rPr>
            </w:pPr>
          </w:p>
          <w:p w14:paraId="67291B2C">
            <w:pPr>
              <w:spacing w:line="241" w:lineRule="auto"/>
              <w:rPr>
                <w:rFonts w:ascii="Arial"/>
                <w:color w:val="000000" w:themeColor="text1"/>
                <w:sz w:val="24"/>
                <w:szCs w:val="24"/>
                <w:highlight w:val="none"/>
                <w14:textFill>
                  <w14:solidFill>
                    <w14:schemeClr w14:val="tx1"/>
                  </w14:solidFill>
                </w14:textFill>
              </w:rPr>
            </w:pPr>
          </w:p>
          <w:p w14:paraId="2FD3D57D">
            <w:pPr>
              <w:spacing w:line="241" w:lineRule="auto"/>
              <w:rPr>
                <w:rFonts w:ascii="Arial"/>
                <w:color w:val="000000" w:themeColor="text1"/>
                <w:sz w:val="24"/>
                <w:szCs w:val="24"/>
                <w:highlight w:val="none"/>
                <w14:textFill>
                  <w14:solidFill>
                    <w14:schemeClr w14:val="tx1"/>
                  </w14:solidFill>
                </w14:textFill>
              </w:rPr>
            </w:pPr>
          </w:p>
          <w:p w14:paraId="0506A5D7">
            <w:pPr>
              <w:spacing w:line="241" w:lineRule="auto"/>
              <w:rPr>
                <w:rFonts w:ascii="Arial"/>
                <w:color w:val="000000" w:themeColor="text1"/>
                <w:sz w:val="24"/>
                <w:szCs w:val="24"/>
                <w:highlight w:val="none"/>
                <w14:textFill>
                  <w14:solidFill>
                    <w14:schemeClr w14:val="tx1"/>
                  </w14:solidFill>
                </w14:textFill>
              </w:rPr>
            </w:pPr>
          </w:p>
          <w:p w14:paraId="1BB546B7">
            <w:pPr>
              <w:spacing w:line="241" w:lineRule="auto"/>
              <w:rPr>
                <w:rFonts w:ascii="Arial"/>
                <w:color w:val="000000" w:themeColor="text1"/>
                <w:sz w:val="24"/>
                <w:szCs w:val="24"/>
                <w:highlight w:val="none"/>
                <w14:textFill>
                  <w14:solidFill>
                    <w14:schemeClr w14:val="tx1"/>
                  </w14:solidFill>
                </w14:textFill>
              </w:rPr>
            </w:pPr>
          </w:p>
          <w:p w14:paraId="7CAD643C">
            <w:pPr>
              <w:spacing w:line="241" w:lineRule="auto"/>
              <w:rPr>
                <w:rFonts w:ascii="Arial"/>
                <w:color w:val="000000" w:themeColor="text1"/>
                <w:sz w:val="24"/>
                <w:szCs w:val="24"/>
                <w:highlight w:val="none"/>
                <w14:textFill>
                  <w14:solidFill>
                    <w14:schemeClr w14:val="tx1"/>
                  </w14:solidFill>
                </w14:textFill>
              </w:rPr>
            </w:pPr>
          </w:p>
          <w:p w14:paraId="5FF09410">
            <w:pPr>
              <w:spacing w:line="241" w:lineRule="auto"/>
              <w:rPr>
                <w:rFonts w:ascii="Arial"/>
                <w:color w:val="000000" w:themeColor="text1"/>
                <w:sz w:val="24"/>
                <w:szCs w:val="24"/>
                <w:highlight w:val="none"/>
                <w14:textFill>
                  <w14:solidFill>
                    <w14:schemeClr w14:val="tx1"/>
                  </w14:solidFill>
                </w14:textFill>
              </w:rPr>
            </w:pPr>
          </w:p>
          <w:p w14:paraId="6CA93FF1">
            <w:pPr>
              <w:spacing w:line="241" w:lineRule="auto"/>
              <w:rPr>
                <w:rFonts w:ascii="Arial"/>
                <w:color w:val="000000" w:themeColor="text1"/>
                <w:sz w:val="24"/>
                <w:szCs w:val="24"/>
                <w:highlight w:val="none"/>
                <w14:textFill>
                  <w14:solidFill>
                    <w14:schemeClr w14:val="tx1"/>
                  </w14:solidFill>
                </w14:textFill>
              </w:rPr>
            </w:pPr>
          </w:p>
          <w:p w14:paraId="10A83436">
            <w:pPr>
              <w:spacing w:line="241" w:lineRule="auto"/>
              <w:rPr>
                <w:rFonts w:ascii="Arial"/>
                <w:color w:val="000000" w:themeColor="text1"/>
                <w:sz w:val="24"/>
                <w:szCs w:val="24"/>
                <w:highlight w:val="none"/>
                <w14:textFill>
                  <w14:solidFill>
                    <w14:schemeClr w14:val="tx1"/>
                  </w14:solidFill>
                </w14:textFill>
              </w:rPr>
            </w:pPr>
          </w:p>
          <w:p w14:paraId="712CFD07">
            <w:pPr>
              <w:spacing w:line="241" w:lineRule="auto"/>
              <w:rPr>
                <w:rFonts w:ascii="Arial"/>
                <w:color w:val="000000" w:themeColor="text1"/>
                <w:sz w:val="24"/>
                <w:szCs w:val="24"/>
                <w:highlight w:val="none"/>
                <w14:textFill>
                  <w14:solidFill>
                    <w14:schemeClr w14:val="tx1"/>
                  </w14:solidFill>
                </w14:textFill>
              </w:rPr>
            </w:pPr>
          </w:p>
          <w:p w14:paraId="78121CF7">
            <w:pPr>
              <w:spacing w:line="241" w:lineRule="auto"/>
              <w:rPr>
                <w:rFonts w:ascii="Arial"/>
                <w:color w:val="000000" w:themeColor="text1"/>
                <w:sz w:val="24"/>
                <w:szCs w:val="24"/>
                <w:highlight w:val="none"/>
                <w14:textFill>
                  <w14:solidFill>
                    <w14:schemeClr w14:val="tx1"/>
                  </w14:solidFill>
                </w14:textFill>
              </w:rPr>
            </w:pPr>
          </w:p>
          <w:p w14:paraId="0D7400DA">
            <w:pPr>
              <w:spacing w:line="241" w:lineRule="auto"/>
              <w:rPr>
                <w:rFonts w:ascii="Arial"/>
                <w:color w:val="000000" w:themeColor="text1"/>
                <w:sz w:val="24"/>
                <w:szCs w:val="24"/>
                <w:highlight w:val="none"/>
                <w14:textFill>
                  <w14:solidFill>
                    <w14:schemeClr w14:val="tx1"/>
                  </w14:solidFill>
                </w14:textFill>
              </w:rPr>
            </w:pPr>
          </w:p>
          <w:p w14:paraId="190FA1BF">
            <w:pPr>
              <w:spacing w:line="241" w:lineRule="auto"/>
              <w:rPr>
                <w:rFonts w:ascii="Arial"/>
                <w:color w:val="000000" w:themeColor="text1"/>
                <w:sz w:val="24"/>
                <w:szCs w:val="24"/>
                <w:highlight w:val="none"/>
                <w14:textFill>
                  <w14:solidFill>
                    <w14:schemeClr w14:val="tx1"/>
                  </w14:solidFill>
                </w14:textFill>
              </w:rPr>
            </w:pPr>
          </w:p>
          <w:p w14:paraId="46716DE8">
            <w:pPr>
              <w:spacing w:line="241" w:lineRule="auto"/>
              <w:rPr>
                <w:rFonts w:ascii="Arial"/>
                <w:color w:val="000000" w:themeColor="text1"/>
                <w:sz w:val="24"/>
                <w:szCs w:val="24"/>
                <w:highlight w:val="none"/>
                <w14:textFill>
                  <w14:solidFill>
                    <w14:schemeClr w14:val="tx1"/>
                  </w14:solidFill>
                </w14:textFill>
              </w:rPr>
            </w:pPr>
          </w:p>
          <w:p w14:paraId="6B7F41E8">
            <w:pPr>
              <w:spacing w:line="241" w:lineRule="auto"/>
              <w:rPr>
                <w:rFonts w:ascii="Arial"/>
                <w:color w:val="000000" w:themeColor="text1"/>
                <w:sz w:val="24"/>
                <w:szCs w:val="24"/>
                <w:highlight w:val="none"/>
                <w14:textFill>
                  <w14:solidFill>
                    <w14:schemeClr w14:val="tx1"/>
                  </w14:solidFill>
                </w14:textFill>
              </w:rPr>
            </w:pPr>
          </w:p>
          <w:p w14:paraId="43E21216">
            <w:pPr>
              <w:pStyle w:val="11"/>
              <w:spacing w:before="72" w:line="218" w:lineRule="auto"/>
              <w:ind w:left="84"/>
              <w:jc w:val="center"/>
              <w:rPr>
                <w:b/>
                <w:bCs/>
                <w:color w:val="000000" w:themeColor="text1"/>
                <w:spacing w:val="2"/>
                <w:sz w:val="24"/>
                <w:szCs w:val="24"/>
                <w:highlight w:val="none"/>
                <w14:textFill>
                  <w14:solidFill>
                    <w14:schemeClr w14:val="tx1"/>
                  </w14:solidFill>
                </w14:textFill>
              </w:rPr>
            </w:pPr>
            <w:r>
              <w:rPr>
                <w:b/>
                <w:bCs/>
                <w:color w:val="000000" w:themeColor="text1"/>
                <w:spacing w:val="-4"/>
                <w:sz w:val="24"/>
                <w:szCs w:val="24"/>
                <w:highlight w:val="none"/>
                <w14:textFill>
                  <w14:solidFill>
                    <w14:schemeClr w14:val="tx1"/>
                  </w14:solidFill>
                </w14:textFill>
              </w:rPr>
              <w:t>评标基准价计算</w:t>
            </w:r>
            <w:r>
              <w:rPr>
                <w:b/>
                <w:bCs/>
                <w:color w:val="000000" w:themeColor="text1"/>
                <w:spacing w:val="-5"/>
                <w:sz w:val="24"/>
                <w:szCs w:val="24"/>
                <w:highlight w:val="none"/>
                <w14:textFill>
                  <w14:solidFill>
                    <w14:schemeClr w14:val="tx1"/>
                  </w14:solidFill>
                </w14:textFill>
              </w:rPr>
              <w:t>方法</w:t>
            </w:r>
          </w:p>
        </w:tc>
        <w:tc>
          <w:tcPr>
            <w:tcW w:w="6514" w:type="dxa"/>
            <w:vAlign w:val="top"/>
          </w:tcPr>
          <w:p w14:paraId="0CECDF4D">
            <w:pPr>
              <w:pStyle w:val="11"/>
              <w:spacing w:before="148" w:line="374" w:lineRule="auto"/>
              <w:ind w:left="102" w:right="1" w:firstLine="420"/>
              <w:jc w:val="both"/>
              <w:rPr>
                <w:color w:val="000000" w:themeColor="text1"/>
                <w:sz w:val="24"/>
                <w:szCs w:val="24"/>
                <w:highlight w:val="none"/>
                <w14:textFill>
                  <w14:solidFill>
                    <w14:schemeClr w14:val="tx1"/>
                  </w14:solidFill>
                </w14:textFill>
              </w:rPr>
            </w:pPr>
            <w:r>
              <w:rPr>
                <w:color w:val="000000" w:themeColor="text1"/>
                <w:spacing w:val="-7"/>
                <w:sz w:val="24"/>
                <w:szCs w:val="24"/>
                <w:highlight w:val="none"/>
                <w14:textFill>
                  <w14:solidFill>
                    <w14:schemeClr w14:val="tx1"/>
                  </w14:solidFill>
                </w14:textFill>
              </w:rPr>
              <w:t>在开标现场，招标人将当场计算并宣布各标段评标基准价。在评标过程中，评标委员会将对招标人计算的评标基准价进行复核，</w:t>
            </w:r>
            <w:r>
              <w:rPr>
                <w:color w:val="000000" w:themeColor="text1"/>
                <w:spacing w:val="-8"/>
                <w:sz w:val="24"/>
                <w:szCs w:val="24"/>
                <w:highlight w:val="none"/>
                <w14:textFill>
                  <w14:solidFill>
                    <w14:schemeClr w14:val="tx1"/>
                  </w14:solidFill>
                </w14:textFill>
              </w:rPr>
              <w:t>存在计算</w:t>
            </w:r>
            <w:r>
              <w:rPr>
                <w:color w:val="000000" w:themeColor="text1"/>
                <w:spacing w:val="-7"/>
                <w:sz w:val="24"/>
                <w:szCs w:val="24"/>
                <w:highlight w:val="none"/>
                <w14:textFill>
                  <w14:solidFill>
                    <w14:schemeClr w14:val="tx1"/>
                  </w14:solidFill>
                </w14:textFill>
              </w:rPr>
              <w:t>错误的应予以修正并在评标报告中作出说明。除此之外，评标基</w:t>
            </w:r>
            <w:r>
              <w:rPr>
                <w:color w:val="000000" w:themeColor="text1"/>
                <w:spacing w:val="-8"/>
                <w:sz w:val="24"/>
                <w:szCs w:val="24"/>
                <w:highlight w:val="none"/>
                <w14:textFill>
                  <w14:solidFill>
                    <w14:schemeClr w14:val="tx1"/>
                  </w14:solidFill>
                </w14:textFill>
              </w:rPr>
              <w:t>准价在</w:t>
            </w:r>
            <w:r>
              <w:rPr>
                <w:color w:val="000000" w:themeColor="text1"/>
                <w:sz w:val="24"/>
                <w:szCs w:val="24"/>
                <w:highlight w:val="none"/>
                <w14:textFill>
                  <w14:solidFill>
                    <w14:schemeClr w14:val="tx1"/>
                  </w14:solidFill>
                </w14:textFill>
              </w:rPr>
              <w:t>整个评标期间保持不变，不随任何因素发生变化。</w:t>
            </w:r>
          </w:p>
          <w:p w14:paraId="418A3D4B">
            <w:pPr>
              <w:pStyle w:val="11"/>
              <w:spacing w:line="360" w:lineRule="auto"/>
              <w:ind w:left="102" w:right="2" w:firstLine="430"/>
              <w:rPr>
                <w:color w:val="000000" w:themeColor="text1"/>
                <w:sz w:val="24"/>
                <w:szCs w:val="24"/>
                <w:highlight w:val="none"/>
                <w14:textFill>
                  <w14:solidFill>
                    <w14:schemeClr w14:val="tx1"/>
                  </w14:solidFill>
                </w14:textFill>
              </w:rPr>
            </w:pPr>
            <w:r>
              <w:rPr>
                <w:color w:val="000000" w:themeColor="text1"/>
                <w:spacing w:val="-7"/>
                <w:sz w:val="24"/>
                <w:szCs w:val="24"/>
                <w:highlight w:val="none"/>
                <w14:textFill>
                  <w14:solidFill>
                    <w14:schemeClr w14:val="tx1"/>
                  </w14:solidFill>
                </w14:textFill>
              </w:rPr>
              <w:t>计算差错，仅限于以下两种情况：1.纯算术性四则运算差错；2.未</w:t>
            </w:r>
            <w:r>
              <w:rPr>
                <w:color w:val="000000" w:themeColor="text1"/>
                <w:spacing w:val="6"/>
                <w:sz w:val="24"/>
                <w:szCs w:val="24"/>
                <w:highlight w:val="none"/>
                <w14:textFill>
                  <w14:solidFill>
                    <w14:schemeClr w14:val="tx1"/>
                  </w14:solidFill>
                </w14:textFill>
              </w:rPr>
              <w:t xml:space="preserve"> </w:t>
            </w:r>
            <w:r>
              <w:rPr>
                <w:color w:val="000000" w:themeColor="text1"/>
                <w:sz w:val="24"/>
                <w:szCs w:val="24"/>
                <w:highlight w:val="none"/>
                <w14:textFill>
                  <w14:solidFill>
                    <w14:schemeClr w14:val="tx1"/>
                  </w14:solidFill>
                </w14:textFill>
              </w:rPr>
              <w:t>按约定的规则，多计或少计参加评标价平均值计算的评标</w:t>
            </w:r>
            <w:r>
              <w:rPr>
                <w:color w:val="000000" w:themeColor="text1"/>
                <w:spacing w:val="-1"/>
                <w:sz w:val="24"/>
                <w:szCs w:val="24"/>
                <w:highlight w:val="none"/>
                <w14:textFill>
                  <w14:solidFill>
                    <w14:schemeClr w14:val="tx1"/>
                  </w14:solidFill>
                </w14:textFill>
              </w:rPr>
              <w:t>价。</w:t>
            </w:r>
          </w:p>
          <w:p w14:paraId="3C3B6540">
            <w:pPr>
              <w:pStyle w:val="11"/>
              <w:spacing w:line="375" w:lineRule="auto"/>
              <w:ind w:left="102" w:right="142" w:firstLine="420"/>
              <w:jc w:val="both"/>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本次招标设定3种评标价平均值(B)计算</w:t>
            </w:r>
            <w:r>
              <w:rPr>
                <w:color w:val="000000" w:themeColor="text1"/>
                <w:spacing w:val="-1"/>
                <w:sz w:val="24"/>
                <w:szCs w:val="24"/>
                <w:highlight w:val="none"/>
                <w14:textFill>
                  <w14:solidFill>
                    <w14:schemeClr w14:val="tx1"/>
                  </w14:solidFill>
                </w14:textFill>
              </w:rPr>
              <w:t>方法，在第二个信封(报</w:t>
            </w:r>
            <w:r>
              <w:rPr>
                <w:color w:val="000000" w:themeColor="text1"/>
                <w:sz w:val="24"/>
                <w:szCs w:val="24"/>
                <w:highlight w:val="none"/>
                <w14:textFill>
                  <w14:solidFill>
                    <w14:schemeClr w14:val="tx1"/>
                  </w14:solidFill>
                </w14:textFill>
              </w:rPr>
              <w:t>价文件)开标现场，每个标段(如分标段)随机抽取其中1种作为该标段的评标价平均值计算方法。</w:t>
            </w:r>
          </w:p>
          <w:p w14:paraId="0AAF11A6">
            <w:pPr>
              <w:pStyle w:val="11"/>
              <w:spacing w:line="218" w:lineRule="auto"/>
              <w:ind w:left="523"/>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当本办法中关于P1(如需)、P2(如需)、R(如需)、K1、K2、</w:t>
            </w:r>
          </w:p>
          <w:p w14:paraId="65CBF278">
            <w:pPr>
              <w:pStyle w:val="11"/>
              <w:spacing w:before="179" w:line="368" w:lineRule="auto"/>
              <w:ind w:left="102"/>
              <w:jc w:val="both"/>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Z等评标价平均值以及评标基准价计算参数的抽取规则与电子交易平台</w:t>
            </w:r>
            <w:r>
              <w:rPr>
                <w:color w:val="000000" w:themeColor="text1"/>
                <w:spacing w:val="-7"/>
                <w:sz w:val="24"/>
                <w:szCs w:val="24"/>
                <w:highlight w:val="none"/>
                <w14:textFill>
                  <w14:solidFill>
                    <w14:schemeClr w14:val="tx1"/>
                  </w14:solidFill>
                </w14:textFill>
              </w:rPr>
              <w:t>中的“开标系统”设定规则(如有)不一致时，以电</w:t>
            </w:r>
            <w:r>
              <w:rPr>
                <w:color w:val="000000" w:themeColor="text1"/>
                <w:spacing w:val="-8"/>
                <w:sz w:val="24"/>
                <w:szCs w:val="24"/>
                <w:highlight w:val="none"/>
                <w14:textFill>
                  <w14:solidFill>
                    <w14:schemeClr w14:val="tx1"/>
                  </w14:solidFill>
                </w14:textFill>
              </w:rPr>
              <w:t>子交易平台中的“开</w:t>
            </w:r>
            <w:r>
              <w:rPr>
                <w:color w:val="000000" w:themeColor="text1"/>
                <w:spacing w:val="-1"/>
                <w:sz w:val="24"/>
                <w:szCs w:val="24"/>
                <w:highlight w:val="none"/>
                <w14:textFill>
                  <w14:solidFill>
                    <w14:schemeClr w14:val="tx1"/>
                  </w14:solidFill>
                </w14:textFill>
              </w:rPr>
              <w:t>标系统”设定的规则为准。</w:t>
            </w:r>
          </w:p>
          <w:p w14:paraId="1C7E3C40">
            <w:pPr>
              <w:pStyle w:val="11"/>
              <w:spacing w:before="1" w:line="217" w:lineRule="auto"/>
              <w:ind w:left="506"/>
              <w:rPr>
                <w:color w:val="000000" w:themeColor="text1"/>
                <w:sz w:val="24"/>
                <w:szCs w:val="24"/>
                <w:highlight w:val="none"/>
                <w14:textFill>
                  <w14:solidFill>
                    <w14:schemeClr w14:val="tx1"/>
                  </w14:solidFill>
                </w14:textFill>
              </w:rPr>
            </w:pPr>
            <w:r>
              <w:rPr>
                <w:b/>
                <w:bCs/>
                <w:color w:val="000000" w:themeColor="text1"/>
                <w:spacing w:val="-4"/>
                <w:sz w:val="24"/>
                <w:szCs w:val="24"/>
                <w:highlight w:val="none"/>
                <w14:textFill>
                  <w14:solidFill>
                    <w14:schemeClr w14:val="tx1"/>
                  </w14:solidFill>
                </w14:textFill>
              </w:rPr>
              <w:t>一、评标价(A)</w:t>
            </w:r>
          </w:p>
          <w:p w14:paraId="738E5FEC">
            <w:pPr>
              <w:pStyle w:val="11"/>
              <w:keepNext w:val="0"/>
              <w:keepLines w:val="0"/>
              <w:pageBreakBefore w:val="0"/>
              <w:widowControl w:val="0"/>
              <w:kinsoku/>
              <w:wordWrap/>
              <w:overflowPunct/>
              <w:topLinePunct w:val="0"/>
              <w:autoSpaceDE/>
              <w:autoSpaceDN/>
              <w:bidi w:val="0"/>
              <w:adjustRightInd/>
              <w:snapToGrid/>
              <w:spacing w:line="420" w:lineRule="exact"/>
              <w:ind w:left="523"/>
              <w:textAlignment w:val="auto"/>
              <w:rPr>
                <w:color w:val="000000" w:themeColor="text1"/>
                <w:sz w:val="24"/>
                <w:szCs w:val="24"/>
                <w:highlight w:val="none"/>
                <w14:textFill>
                  <w14:solidFill>
                    <w14:schemeClr w14:val="tx1"/>
                  </w14:solidFill>
                </w14:textFill>
              </w:rPr>
            </w:pPr>
            <w:r>
              <w:rPr>
                <w:color w:val="000000" w:themeColor="text1"/>
                <w:spacing w:val="-1"/>
                <w:sz w:val="24"/>
                <w:szCs w:val="24"/>
                <w:highlight w:val="none"/>
                <w14:textFill>
                  <w14:solidFill>
                    <w14:schemeClr w14:val="tx1"/>
                  </w14:solidFill>
                </w14:textFill>
              </w:rPr>
              <w:t>评标价=投标函的文字报价</w:t>
            </w:r>
          </w:p>
          <w:p w14:paraId="5F71D87A">
            <w:pPr>
              <w:pStyle w:val="11"/>
              <w:keepNext w:val="0"/>
              <w:keepLines w:val="0"/>
              <w:pageBreakBefore w:val="0"/>
              <w:widowControl w:val="0"/>
              <w:kinsoku/>
              <w:wordWrap/>
              <w:overflowPunct/>
              <w:topLinePunct w:val="0"/>
              <w:autoSpaceDE/>
              <w:autoSpaceDN/>
              <w:bidi w:val="0"/>
              <w:adjustRightInd/>
              <w:snapToGrid/>
              <w:spacing w:line="420" w:lineRule="exact"/>
              <w:ind w:right="3" w:firstLine="480" w:firstLineChars="200"/>
              <w:jc w:val="both"/>
              <w:textAlignment w:val="auto"/>
              <w:rPr>
                <w:color w:val="000000" w:themeColor="text1"/>
                <w:spacing w:val="-6"/>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如果投标文件出现以下1～5任一情况，不参加评标价平均值的计</w:t>
            </w:r>
            <w:r>
              <w:rPr>
                <w:color w:val="000000" w:themeColor="text1"/>
                <w:spacing w:val="-6"/>
                <w:sz w:val="24"/>
                <w:szCs w:val="24"/>
                <w:highlight w:val="none"/>
                <w14:textFill>
                  <w14:solidFill>
                    <w14:schemeClr w14:val="tx1"/>
                  </w14:solidFill>
                </w14:textFill>
              </w:rPr>
              <w:t>算</w:t>
            </w:r>
            <w:r>
              <w:rPr>
                <w:color w:val="000000" w:themeColor="text1"/>
                <w:spacing w:val="-49"/>
                <w:sz w:val="24"/>
                <w:szCs w:val="24"/>
                <w:highlight w:val="none"/>
                <w14:textFill>
                  <w14:solidFill>
                    <w14:schemeClr w14:val="tx1"/>
                  </w14:solidFill>
                </w14:textFill>
              </w:rPr>
              <w:t xml:space="preserve"> </w:t>
            </w:r>
            <w:r>
              <w:rPr>
                <w:color w:val="000000" w:themeColor="text1"/>
                <w:spacing w:val="-6"/>
                <w:sz w:val="24"/>
                <w:szCs w:val="24"/>
                <w:highlight w:val="none"/>
                <w14:textFill>
                  <w14:solidFill>
                    <w14:schemeClr w14:val="tx1"/>
                  </w14:solidFill>
                </w14:textFill>
              </w:rPr>
              <w:t>：</w:t>
            </w:r>
          </w:p>
          <w:p w14:paraId="1F9FE6CD">
            <w:pPr>
              <w:pStyle w:val="11"/>
              <w:keepNext w:val="0"/>
              <w:keepLines w:val="0"/>
              <w:pageBreakBefore w:val="0"/>
              <w:widowControl w:val="0"/>
              <w:kinsoku/>
              <w:wordWrap/>
              <w:overflowPunct/>
              <w:topLinePunct w:val="0"/>
              <w:autoSpaceDE/>
              <w:autoSpaceDN/>
              <w:bidi w:val="0"/>
              <w:adjustRightInd/>
              <w:snapToGrid/>
              <w:spacing w:line="420" w:lineRule="exact"/>
              <w:ind w:right="3" w:firstLine="468" w:firstLineChars="200"/>
              <w:jc w:val="both"/>
              <w:textAlignment w:val="auto"/>
              <w:rPr>
                <w:color w:val="000000" w:themeColor="text1"/>
                <w:spacing w:val="18"/>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1.未按招标文件第二章“投标人须知”第3.2款要求在投标函上填</w:t>
            </w:r>
            <w:r>
              <w:rPr>
                <w:color w:val="000000" w:themeColor="text1"/>
                <w:spacing w:val="18"/>
                <w:sz w:val="24"/>
                <w:szCs w:val="24"/>
                <w:highlight w:val="none"/>
                <w14:textFill>
                  <w14:solidFill>
                    <w14:schemeClr w14:val="tx1"/>
                  </w14:solidFill>
                </w14:textFill>
              </w:rPr>
              <w:t>写投标总价；</w:t>
            </w:r>
          </w:p>
          <w:p w14:paraId="1E350C8A">
            <w:pPr>
              <w:pStyle w:val="11"/>
              <w:keepNext w:val="0"/>
              <w:keepLines w:val="0"/>
              <w:pageBreakBefore w:val="0"/>
              <w:widowControl w:val="0"/>
              <w:kinsoku/>
              <w:wordWrap/>
              <w:overflowPunct/>
              <w:topLinePunct w:val="0"/>
              <w:autoSpaceDE/>
              <w:autoSpaceDN/>
              <w:bidi w:val="0"/>
              <w:adjustRightInd/>
              <w:snapToGrid/>
              <w:spacing w:line="420" w:lineRule="exact"/>
              <w:ind w:right="3" w:firstLine="480" w:firstLineChars="200"/>
              <w:jc w:val="both"/>
              <w:textAlignment w:val="auto"/>
              <w:rPr>
                <w:rFonts w:hint="eastAsia" w:eastAsia="宋体"/>
                <w:color w:val="000000" w:themeColor="text1"/>
                <w:spacing w:val="-1"/>
                <w:sz w:val="24"/>
                <w:szCs w:val="24"/>
                <w:highlight w:val="none"/>
                <w:lang w:eastAsia="zh-CN"/>
                <w14:textFill>
                  <w14:solidFill>
                    <w14:schemeClr w14:val="tx1"/>
                  </w14:solidFill>
                </w14:textFill>
              </w:rPr>
            </w:pPr>
            <w:r>
              <w:rPr>
                <w:color w:val="000000" w:themeColor="text1"/>
                <w:sz w:val="24"/>
                <w:szCs w:val="24"/>
                <w:highlight w:val="none"/>
                <w14:textFill>
                  <w14:solidFill>
                    <w14:schemeClr w14:val="tx1"/>
                  </w14:solidFill>
                </w14:textFill>
              </w:rPr>
              <w:t>2.投标报价超出招标人公布的最高投标限价，或低于招标人公布</w:t>
            </w:r>
            <w:r>
              <w:rPr>
                <w:color w:val="000000" w:themeColor="text1"/>
                <w:spacing w:val="-1"/>
                <w:sz w:val="24"/>
                <w:szCs w:val="24"/>
                <w:highlight w:val="none"/>
                <w:u w:val="none" w:color="auto"/>
                <w14:textFill>
                  <w14:solidFill>
                    <w14:schemeClr w14:val="tx1"/>
                  </w14:solidFill>
                </w14:textFill>
              </w:rPr>
              <w:t>的最高投标限价的</w:t>
            </w:r>
            <w:r>
              <w:rPr>
                <w:rFonts w:hint="eastAsia"/>
                <w:color w:val="000000" w:themeColor="text1"/>
                <w:spacing w:val="-1"/>
                <w:sz w:val="24"/>
                <w:szCs w:val="24"/>
                <w:highlight w:val="none"/>
                <w:u w:val="single" w:color="auto"/>
                <w:lang w:val="en-US" w:eastAsia="zh-CN"/>
                <w14:textFill>
                  <w14:solidFill>
                    <w14:schemeClr w14:val="tx1"/>
                  </w14:solidFill>
                </w14:textFill>
              </w:rPr>
              <w:t xml:space="preserve"> </w:t>
            </w:r>
            <w:r>
              <w:rPr>
                <w:b/>
                <w:bCs/>
                <w:color w:val="000000" w:themeColor="text1"/>
                <w:spacing w:val="-1"/>
                <w:sz w:val="24"/>
                <w:szCs w:val="24"/>
                <w:highlight w:val="none"/>
                <w:u w:val="single" w:color="auto"/>
                <w14:textFill>
                  <w14:solidFill>
                    <w14:schemeClr w14:val="tx1"/>
                  </w14:solidFill>
                </w14:textFill>
              </w:rPr>
              <w:t>90</w:t>
            </w:r>
            <w:r>
              <w:rPr>
                <w:rFonts w:hint="eastAsia"/>
                <w:color w:val="000000" w:themeColor="text1"/>
                <w:spacing w:val="-1"/>
                <w:sz w:val="24"/>
                <w:szCs w:val="24"/>
                <w:highlight w:val="none"/>
                <w:u w:val="single" w:color="auto"/>
                <w:lang w:val="en-US" w:eastAsia="zh-CN"/>
                <w14:textFill>
                  <w14:solidFill>
                    <w14:schemeClr w14:val="tx1"/>
                  </w14:solidFill>
                </w14:textFill>
              </w:rPr>
              <w:t xml:space="preserve"> </w:t>
            </w:r>
            <w:r>
              <w:rPr>
                <w:color w:val="000000" w:themeColor="text1"/>
                <w:spacing w:val="-1"/>
                <w:sz w:val="24"/>
                <w:szCs w:val="24"/>
                <w:highlight w:val="none"/>
                <w14:textFill>
                  <w14:solidFill>
                    <w14:schemeClr w14:val="tx1"/>
                  </w14:solidFill>
                </w14:textFill>
              </w:rPr>
              <w:t>%</w:t>
            </w:r>
            <w:r>
              <w:rPr>
                <w:rFonts w:hint="eastAsia"/>
                <w:color w:val="000000" w:themeColor="text1"/>
                <w:spacing w:val="-1"/>
                <w:sz w:val="24"/>
                <w:szCs w:val="24"/>
                <w:highlight w:val="none"/>
                <w:lang w:eastAsia="zh-CN"/>
                <w14:textFill>
                  <w14:solidFill>
                    <w14:schemeClr w14:val="tx1"/>
                  </w14:solidFill>
                </w14:textFill>
              </w:rPr>
              <w:t>；</w:t>
            </w:r>
          </w:p>
          <w:p w14:paraId="2631283A">
            <w:pPr>
              <w:pStyle w:val="11"/>
              <w:keepNext w:val="0"/>
              <w:keepLines w:val="0"/>
              <w:pageBreakBefore w:val="0"/>
              <w:widowControl w:val="0"/>
              <w:kinsoku/>
              <w:wordWrap/>
              <w:overflowPunct/>
              <w:topLinePunct w:val="0"/>
              <w:autoSpaceDE/>
              <w:autoSpaceDN/>
              <w:bidi w:val="0"/>
              <w:adjustRightInd/>
              <w:snapToGrid/>
              <w:spacing w:line="420" w:lineRule="exact"/>
              <w:ind w:right="3" w:firstLine="508" w:firstLineChars="200"/>
              <w:jc w:val="both"/>
              <w:textAlignment w:val="auto"/>
              <w:rPr>
                <w:color w:val="000000" w:themeColor="text1"/>
                <w:sz w:val="24"/>
                <w:szCs w:val="24"/>
                <w:highlight w:val="none"/>
                <w14:textFill>
                  <w14:solidFill>
                    <w14:schemeClr w14:val="tx1"/>
                  </w14:solidFill>
                </w14:textFill>
              </w:rPr>
            </w:pPr>
            <w:r>
              <w:rPr>
                <w:color w:val="000000" w:themeColor="text1"/>
                <w:spacing w:val="7"/>
                <w:sz w:val="24"/>
                <w:szCs w:val="24"/>
                <w:highlight w:val="none"/>
                <w14:textFill>
                  <w14:solidFill>
                    <w14:schemeClr w14:val="tx1"/>
                  </w14:solidFill>
                </w14:textFill>
              </w:rPr>
              <w:t>3.无法确定投标报价具体数值；</w:t>
            </w:r>
          </w:p>
          <w:p w14:paraId="1E9AC026">
            <w:pPr>
              <w:pStyle w:val="11"/>
              <w:keepNext w:val="0"/>
              <w:keepLines w:val="0"/>
              <w:pageBreakBefore w:val="0"/>
              <w:widowControl w:val="0"/>
              <w:kinsoku/>
              <w:wordWrap/>
              <w:overflowPunct/>
              <w:topLinePunct w:val="0"/>
              <w:autoSpaceDE/>
              <w:autoSpaceDN/>
              <w:bidi w:val="0"/>
              <w:adjustRightInd/>
              <w:snapToGrid/>
              <w:spacing w:line="420" w:lineRule="exact"/>
              <w:ind w:left="102" w:right="50" w:firstLine="400"/>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4.如分标段：电子投标文件中投标函上填写</w:t>
            </w:r>
            <w:r>
              <w:rPr>
                <w:color w:val="000000" w:themeColor="text1"/>
                <w:spacing w:val="-1"/>
                <w:sz w:val="24"/>
                <w:szCs w:val="24"/>
                <w:highlight w:val="none"/>
                <w14:textFill>
                  <w14:solidFill>
                    <w14:schemeClr w14:val="tx1"/>
                  </w14:solidFill>
                </w14:textFill>
              </w:rPr>
              <w:t>的标段号与电子化平</w:t>
            </w:r>
            <w:r>
              <w:rPr>
                <w:color w:val="000000" w:themeColor="text1"/>
                <w:spacing w:val="11"/>
                <w:sz w:val="24"/>
                <w:szCs w:val="24"/>
                <w:highlight w:val="none"/>
                <w14:textFill>
                  <w14:solidFill>
                    <w14:schemeClr w14:val="tx1"/>
                  </w14:solidFill>
                </w14:textFill>
              </w:rPr>
              <w:t>台中所投标段不一致；</w:t>
            </w:r>
          </w:p>
          <w:p w14:paraId="4245145F">
            <w:pPr>
              <w:pStyle w:val="11"/>
              <w:keepNext w:val="0"/>
              <w:keepLines w:val="0"/>
              <w:pageBreakBefore w:val="0"/>
              <w:widowControl w:val="0"/>
              <w:kinsoku/>
              <w:wordWrap/>
              <w:overflowPunct/>
              <w:topLinePunct w:val="0"/>
              <w:autoSpaceDE/>
              <w:autoSpaceDN/>
              <w:bidi w:val="0"/>
              <w:adjustRightInd/>
              <w:snapToGrid/>
              <w:spacing w:line="420" w:lineRule="exact"/>
              <w:ind w:left="93" w:right="13" w:firstLine="430"/>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5.如要求投标人提供投标文件工程量清单：投标函中的投标报价大写金额与投标文件工程量清单中的投标报价金额不一致。</w:t>
            </w:r>
          </w:p>
          <w:p w14:paraId="68A07891">
            <w:pPr>
              <w:pStyle w:val="11"/>
              <w:keepNext w:val="0"/>
              <w:keepLines w:val="0"/>
              <w:pageBreakBefore w:val="0"/>
              <w:widowControl w:val="0"/>
              <w:kinsoku/>
              <w:wordWrap/>
              <w:overflowPunct/>
              <w:topLinePunct w:val="0"/>
              <w:autoSpaceDE/>
              <w:autoSpaceDN/>
              <w:bidi w:val="0"/>
              <w:adjustRightInd/>
              <w:snapToGrid/>
              <w:spacing w:line="420" w:lineRule="exact"/>
              <w:ind w:left="112" w:leftChars="0" w:right="4" w:rightChars="0" w:firstLine="390" w:firstLineChars="0"/>
              <w:textAlignment w:val="auto"/>
              <w:rPr>
                <w:rFonts w:hint="eastAsia"/>
                <w:color w:val="000000" w:themeColor="text1"/>
                <w:spacing w:val="-4"/>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投标文件存在以上1～5任一情况，但招标人在第二个信封(报价</w:t>
            </w:r>
            <w:r>
              <w:rPr>
                <w:color w:val="000000" w:themeColor="text1"/>
                <w:spacing w:val="-4"/>
                <w:sz w:val="24"/>
                <w:szCs w:val="24"/>
                <w:highlight w:val="none"/>
                <w14:textFill>
                  <w14:solidFill>
                    <w14:schemeClr w14:val="tx1"/>
                  </w14:solidFill>
                </w14:textFill>
              </w:rPr>
              <w:t>文件)开标现场未发现的，视为计算过程中基础数据取用错误，由评标</w:t>
            </w:r>
            <w:r>
              <w:rPr>
                <w:rFonts w:hint="eastAsia"/>
                <w:color w:val="000000" w:themeColor="text1"/>
                <w:spacing w:val="-4"/>
                <w:sz w:val="24"/>
                <w:szCs w:val="24"/>
                <w:highlight w:val="none"/>
                <w14:textFill>
                  <w14:solidFill>
                    <w14:schemeClr w14:val="tx1"/>
                  </w14:solidFill>
                </w14:textFill>
              </w:rPr>
              <w:t>委员会在评标过程中予以修正。投标文件未出现以上1～5情况的，均参加评标价平均值的计算。</w:t>
            </w:r>
          </w:p>
          <w:p w14:paraId="4CD57D9A">
            <w:pPr>
              <w:pStyle w:val="11"/>
              <w:keepNext w:val="0"/>
              <w:keepLines w:val="0"/>
              <w:pageBreakBefore w:val="0"/>
              <w:widowControl w:val="0"/>
              <w:kinsoku/>
              <w:wordWrap/>
              <w:overflowPunct/>
              <w:topLinePunct w:val="0"/>
              <w:autoSpaceDE/>
              <w:autoSpaceDN/>
              <w:bidi w:val="0"/>
              <w:adjustRightInd/>
              <w:snapToGrid/>
              <w:spacing w:line="420" w:lineRule="exact"/>
              <w:ind w:left="112" w:leftChars="0" w:right="4" w:rightChars="0" w:firstLine="390" w:firstLineChars="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二、评标价平均值(B)计算方法1(分区加权)</w:t>
            </w:r>
          </w:p>
          <w:p w14:paraId="0C53E104">
            <w:pPr>
              <w:pStyle w:val="11"/>
              <w:keepNext w:val="0"/>
              <w:keepLines w:val="0"/>
              <w:pageBreakBefore w:val="0"/>
              <w:widowControl w:val="0"/>
              <w:kinsoku/>
              <w:wordWrap/>
              <w:overflowPunct/>
              <w:topLinePunct w:val="0"/>
              <w:autoSpaceDE/>
              <w:autoSpaceDN/>
              <w:bidi w:val="0"/>
              <w:adjustRightInd/>
              <w:snapToGrid/>
              <w:spacing w:line="420" w:lineRule="exact"/>
              <w:ind w:left="112" w:leftChars="0" w:right="4" w:rightChars="0" w:firstLine="390" w:firstLineChars="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如果所有评标价均低于</w:t>
            </w:r>
            <w:r>
              <w:rPr>
                <w:rFonts w:hint="eastAsia"/>
                <w:color w:val="000000" w:themeColor="text1"/>
                <w:spacing w:val="-4"/>
                <w:sz w:val="24"/>
                <w:szCs w:val="24"/>
                <w:highlight w:val="none"/>
                <w:u w:val="single"/>
                <w:lang w:val="en-US" w:eastAsia="zh-CN"/>
                <w14:textFill>
                  <w14:solidFill>
                    <w14:schemeClr w14:val="tx1"/>
                  </w14:solidFill>
                </w14:textFill>
              </w:rPr>
              <w:t xml:space="preserve"> </w:t>
            </w:r>
            <w:r>
              <w:rPr>
                <w:rFonts w:hint="eastAsia"/>
                <w:b/>
                <w:bCs/>
                <w:color w:val="000000" w:themeColor="text1"/>
                <w:spacing w:val="-4"/>
                <w:sz w:val="24"/>
                <w:szCs w:val="24"/>
                <w:highlight w:val="none"/>
                <w:u w:val="single"/>
                <w14:textFill>
                  <w14:solidFill>
                    <w14:schemeClr w14:val="tx1"/>
                  </w14:solidFill>
                </w14:textFill>
              </w:rPr>
              <w:t>90%</w:t>
            </w:r>
            <w:r>
              <w:rPr>
                <w:rFonts w:hint="eastAsia"/>
                <w:b/>
                <w:bCs/>
                <w:color w:val="000000" w:themeColor="text1"/>
                <w:spacing w:val="-4"/>
                <w:sz w:val="24"/>
                <w:szCs w:val="24"/>
                <w:highlight w:val="none"/>
                <w:u w:val="single"/>
                <w:lang w:val="en-US" w:eastAsia="zh-CN"/>
                <w14:textFill>
                  <w14:solidFill>
                    <w14:schemeClr w14:val="tx1"/>
                  </w14:solidFill>
                </w14:textFill>
              </w:rPr>
              <w:t xml:space="preserve"> </w:t>
            </w:r>
            <w:r>
              <w:rPr>
                <w:rFonts w:hint="eastAsia"/>
                <w:color w:val="000000" w:themeColor="text1"/>
                <w:spacing w:val="-4"/>
                <w:sz w:val="24"/>
                <w:szCs w:val="24"/>
                <w:highlight w:val="none"/>
                <w14:textFill>
                  <w14:solidFill>
                    <w14:schemeClr w14:val="tx1"/>
                  </w14:solidFill>
                </w14:textFill>
              </w:rPr>
              <w:t>*C值(最高投标限价的</w:t>
            </w:r>
            <w:r>
              <w:rPr>
                <w:rFonts w:hint="eastAsia"/>
                <w:b/>
                <w:bCs/>
                <w:color w:val="000000" w:themeColor="text1"/>
                <w:spacing w:val="-4"/>
                <w:sz w:val="24"/>
                <w:szCs w:val="24"/>
                <w:highlight w:val="none"/>
                <w:u w:val="single"/>
                <w14:textFill>
                  <w14:solidFill>
                    <w14:schemeClr w14:val="tx1"/>
                  </w14:solidFill>
                </w14:textFill>
              </w:rPr>
              <w:t>90%</w:t>
            </w:r>
            <w:r>
              <w:rPr>
                <w:rFonts w:hint="eastAsia"/>
                <w:color w:val="000000" w:themeColor="text1"/>
                <w:spacing w:val="-4"/>
                <w:sz w:val="24"/>
                <w:szCs w:val="24"/>
                <w:highlight w:val="none"/>
                <w14:textFill>
                  <w14:solidFill>
                    <w14:schemeClr w14:val="tx1"/>
                  </w14:solidFill>
                </w14:textFill>
              </w:rPr>
              <w:t>),则评标价平均值(B)直接为</w:t>
            </w:r>
            <w:r>
              <w:rPr>
                <w:rFonts w:hint="eastAsia"/>
                <w:b/>
                <w:bCs/>
                <w:color w:val="000000" w:themeColor="text1"/>
                <w:spacing w:val="-4"/>
                <w:sz w:val="24"/>
                <w:szCs w:val="24"/>
                <w:highlight w:val="none"/>
                <w:u w:val="single"/>
                <w14:textFill>
                  <w14:solidFill>
                    <w14:schemeClr w14:val="tx1"/>
                  </w14:solidFill>
                </w14:textFill>
              </w:rPr>
              <w:t>90%</w:t>
            </w:r>
            <w:r>
              <w:rPr>
                <w:rFonts w:hint="eastAsia"/>
                <w:b/>
                <w:bCs/>
                <w:color w:val="000000" w:themeColor="text1"/>
                <w:spacing w:val="-4"/>
                <w:sz w:val="24"/>
                <w:szCs w:val="24"/>
                <w:highlight w:val="none"/>
                <w:u w:val="single"/>
                <w:lang w:val="en-US" w:eastAsia="zh-CN"/>
                <w14:textFill>
                  <w14:solidFill>
                    <w14:schemeClr w14:val="tx1"/>
                  </w14:solidFill>
                </w14:textFill>
              </w:rPr>
              <w:t xml:space="preserve"> </w:t>
            </w:r>
            <w:r>
              <w:rPr>
                <w:rFonts w:hint="eastAsia"/>
                <w:color w:val="000000" w:themeColor="text1"/>
                <w:spacing w:val="-4"/>
                <w:sz w:val="24"/>
                <w:szCs w:val="24"/>
                <w:highlight w:val="none"/>
                <w14:textFill>
                  <w14:solidFill>
                    <w14:schemeClr w14:val="tx1"/>
                  </w14:solidFill>
                </w14:textFill>
              </w:rPr>
              <w:t>*C值(最高投标限价的</w:t>
            </w:r>
            <w:r>
              <w:rPr>
                <w:rFonts w:hint="eastAsia"/>
                <w:b/>
                <w:bCs/>
                <w:color w:val="000000" w:themeColor="text1"/>
                <w:spacing w:val="-4"/>
                <w:sz w:val="24"/>
                <w:szCs w:val="24"/>
                <w:highlight w:val="none"/>
                <w:u w:val="single"/>
                <w14:textFill>
                  <w14:solidFill>
                    <w14:schemeClr w14:val="tx1"/>
                  </w14:solidFill>
                </w14:textFill>
              </w:rPr>
              <w:t>90%</w:t>
            </w:r>
            <w:r>
              <w:rPr>
                <w:rFonts w:hint="eastAsia"/>
                <w:color w:val="000000" w:themeColor="text1"/>
                <w:spacing w:val="-4"/>
                <w:sz w:val="24"/>
                <w:szCs w:val="24"/>
                <w:highlight w:val="none"/>
                <w14:textFill>
                  <w14:solidFill>
                    <w14:schemeClr w14:val="tx1"/>
                  </w14:solidFill>
                </w14:textFill>
              </w:rPr>
              <w:t>)。否则，</w:t>
            </w:r>
          </w:p>
          <w:p w14:paraId="1D757508">
            <w:pPr>
              <w:pStyle w:val="11"/>
              <w:keepNext w:val="0"/>
              <w:keepLines w:val="0"/>
              <w:pageBreakBefore w:val="0"/>
              <w:widowControl w:val="0"/>
              <w:kinsoku/>
              <w:wordWrap/>
              <w:overflowPunct/>
              <w:topLinePunct w:val="0"/>
              <w:autoSpaceDE/>
              <w:autoSpaceDN/>
              <w:bidi w:val="0"/>
              <w:adjustRightInd/>
              <w:snapToGrid/>
              <w:spacing w:line="420" w:lineRule="exact"/>
              <w:ind w:right="4" w:rightChars="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按以下方式计算评标价平均值(B):</w:t>
            </w:r>
          </w:p>
          <w:p w14:paraId="299EB86C">
            <w:pPr>
              <w:pStyle w:val="11"/>
              <w:keepNext w:val="0"/>
              <w:keepLines w:val="0"/>
              <w:pageBreakBefore w:val="0"/>
              <w:widowControl w:val="0"/>
              <w:kinsoku/>
              <w:wordWrap/>
              <w:overflowPunct/>
              <w:topLinePunct w:val="0"/>
              <w:autoSpaceDE/>
              <w:autoSpaceDN/>
              <w:bidi w:val="0"/>
              <w:adjustRightInd/>
              <w:snapToGrid/>
              <w:spacing w:line="420" w:lineRule="exact"/>
              <w:ind w:left="112" w:leftChars="0" w:right="4" w:rightChars="0" w:firstLine="390" w:firstLineChars="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1.评标价初始平均值(B1)</w:t>
            </w:r>
          </w:p>
          <w:p w14:paraId="115DBE92">
            <w:pPr>
              <w:pStyle w:val="11"/>
              <w:keepNext w:val="0"/>
              <w:keepLines w:val="0"/>
              <w:pageBreakBefore w:val="0"/>
              <w:widowControl w:val="0"/>
              <w:kinsoku/>
              <w:wordWrap/>
              <w:overflowPunct/>
              <w:topLinePunct w:val="0"/>
              <w:autoSpaceDE/>
              <w:autoSpaceDN/>
              <w:bidi w:val="0"/>
              <w:adjustRightInd/>
              <w:snapToGrid/>
              <w:spacing w:line="420" w:lineRule="exact"/>
              <w:ind w:left="112" w:leftChars="0" w:right="4" w:rightChars="0" w:firstLine="390" w:firstLineChars="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所有参加评标价平均值计算的评标价的算术平均值为评标价初始平均值B1。</w:t>
            </w:r>
          </w:p>
          <w:p w14:paraId="17ADCE05">
            <w:pPr>
              <w:pStyle w:val="11"/>
              <w:keepNext w:val="0"/>
              <w:keepLines w:val="0"/>
              <w:pageBreakBefore w:val="0"/>
              <w:widowControl w:val="0"/>
              <w:kinsoku/>
              <w:wordWrap/>
              <w:overflowPunct/>
              <w:topLinePunct w:val="0"/>
              <w:autoSpaceDE/>
              <w:autoSpaceDN/>
              <w:bidi w:val="0"/>
              <w:adjustRightInd/>
              <w:snapToGrid/>
              <w:spacing w:line="420" w:lineRule="exact"/>
              <w:ind w:left="112" w:leftChars="0" w:right="4" w:rightChars="0" w:firstLine="390" w:firstLineChars="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评标价初始平均值(B1)保留七位小数，小数点后第八位“四舍五入”。</w:t>
            </w:r>
          </w:p>
          <w:p w14:paraId="6586C616">
            <w:pPr>
              <w:pStyle w:val="11"/>
              <w:keepNext w:val="0"/>
              <w:keepLines w:val="0"/>
              <w:pageBreakBefore w:val="0"/>
              <w:widowControl w:val="0"/>
              <w:kinsoku/>
              <w:wordWrap/>
              <w:overflowPunct/>
              <w:topLinePunct w:val="0"/>
              <w:autoSpaceDE/>
              <w:autoSpaceDN/>
              <w:bidi w:val="0"/>
              <w:adjustRightInd/>
              <w:snapToGrid/>
              <w:spacing w:line="420" w:lineRule="exact"/>
              <w:ind w:left="112" w:leftChars="0" w:right="4" w:rightChars="0" w:firstLine="390" w:firstLineChars="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2.评标价区段平均值(B2)</w:t>
            </w:r>
          </w:p>
          <w:p w14:paraId="3B35113F">
            <w:pPr>
              <w:pStyle w:val="11"/>
              <w:keepNext w:val="0"/>
              <w:keepLines w:val="0"/>
              <w:pageBreakBefore w:val="0"/>
              <w:widowControl w:val="0"/>
              <w:kinsoku/>
              <w:wordWrap/>
              <w:overflowPunct/>
              <w:topLinePunct w:val="0"/>
              <w:autoSpaceDE/>
              <w:autoSpaceDN/>
              <w:bidi w:val="0"/>
              <w:adjustRightInd/>
              <w:snapToGrid/>
              <w:spacing w:line="420" w:lineRule="exact"/>
              <w:ind w:left="112" w:leftChars="0" w:right="4" w:rightChars="0" w:firstLine="390" w:firstLineChars="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根据下述区段计算评标价区段平均值(B2.1、B2.2、……、B2.15、B2.16),各区段平均值为该区段内各评标价的算术平均值。如：B2</w:t>
            </w:r>
            <w:r>
              <w:rPr>
                <w:rFonts w:hint="eastAsia"/>
                <w:color w:val="000000" w:themeColor="text1"/>
                <w:spacing w:val="-4"/>
                <w:sz w:val="24"/>
                <w:szCs w:val="24"/>
                <w:highlight w:val="none"/>
                <w:lang w:val="en-US" w:eastAsia="zh-CN"/>
                <w14:textFill>
                  <w14:solidFill>
                    <w14:schemeClr w14:val="tx1"/>
                  </w14:solidFill>
                </w14:textFill>
              </w:rPr>
              <w:t>.</w:t>
            </w:r>
            <w:r>
              <w:rPr>
                <w:rFonts w:hint="eastAsia"/>
                <w:color w:val="000000" w:themeColor="text1"/>
                <w:spacing w:val="-4"/>
                <w:sz w:val="24"/>
                <w:szCs w:val="24"/>
                <w:highlight w:val="none"/>
                <w14:textFill>
                  <w14:solidFill>
                    <w14:schemeClr w14:val="tx1"/>
                  </w14:solidFill>
                </w14:textFill>
              </w:rPr>
              <w:t>2为“1.03*B1(不含)～1.035*B1(含)”范围内的所有评标价的算术平均值。</w:t>
            </w:r>
          </w:p>
          <w:p w14:paraId="3DAE3D7C">
            <w:pPr>
              <w:pStyle w:val="11"/>
              <w:keepNext w:val="0"/>
              <w:keepLines w:val="0"/>
              <w:pageBreakBefore w:val="0"/>
              <w:widowControl w:val="0"/>
              <w:kinsoku/>
              <w:wordWrap/>
              <w:overflowPunct/>
              <w:topLinePunct w:val="0"/>
              <w:autoSpaceDE/>
              <w:autoSpaceDN/>
              <w:bidi w:val="0"/>
              <w:adjustRightInd/>
              <w:snapToGrid/>
              <w:spacing w:line="420" w:lineRule="exact"/>
              <w:ind w:left="112" w:leftChars="0" w:right="4" w:rightChars="0" w:firstLine="390" w:firstLineChars="0"/>
              <w:textAlignment w:val="auto"/>
              <w:rPr>
                <w:rFonts w:hint="eastAsia"/>
                <w:color w:val="000000" w:themeColor="text1"/>
                <w:spacing w:val="-4"/>
                <w:sz w:val="24"/>
                <w:szCs w:val="24"/>
                <w:highlight w:val="none"/>
                <w14:textFill>
                  <w14:solidFill>
                    <w14:schemeClr w14:val="tx1"/>
                  </w14:solidFill>
                </w14:textFill>
              </w:rPr>
            </w:pPr>
            <w:r>
              <w:rPr>
                <w:rFonts w:hint="eastAsia"/>
                <w:color w:val="000000" w:themeColor="text1"/>
                <w:spacing w:val="-4"/>
                <w:sz w:val="24"/>
                <w:szCs w:val="24"/>
                <w:highlight w:val="none"/>
                <w14:textFill>
                  <w14:solidFill>
                    <w14:schemeClr w14:val="tx1"/>
                  </w14:solidFill>
                </w14:textFill>
              </w:rPr>
              <w:t>评标价区段平均值(B2)保留七位小数，小数点后第八位“四舍五入”。</w:t>
            </w:r>
          </w:p>
          <w:tbl>
            <w:tblPr>
              <w:tblStyle w:val="8"/>
              <w:tblpPr w:leftFromText="180" w:rightFromText="180" w:vertAnchor="text" w:horzAnchor="page" w:tblpX="417" w:tblpY="10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6"/>
              <w:gridCol w:w="2304"/>
            </w:tblGrid>
            <w:tr w14:paraId="0DCC1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3356" w:type="dxa"/>
                  <w:vAlign w:val="top"/>
                </w:tcPr>
                <w:p w14:paraId="7813925F">
                  <w:pPr>
                    <w:pStyle w:val="11"/>
                    <w:spacing w:before="177" w:line="220" w:lineRule="auto"/>
                    <w:jc w:val="center"/>
                    <w:rPr>
                      <w:rFonts w:hint="eastAsia"/>
                      <w:color w:val="000000" w:themeColor="text1"/>
                      <w:spacing w:val="-4"/>
                      <w:sz w:val="24"/>
                      <w:szCs w:val="24"/>
                      <w:highlight w:val="none"/>
                      <w:vertAlign w:val="baseline"/>
                      <w14:textFill>
                        <w14:solidFill>
                          <w14:schemeClr w14:val="tx1"/>
                        </w14:solidFill>
                      </w14:textFill>
                    </w:rPr>
                  </w:pPr>
                  <w:r>
                    <w:rPr>
                      <w:color w:val="000000" w:themeColor="text1"/>
                      <w:spacing w:val="4"/>
                      <w:highlight w:val="none"/>
                      <w14:textFill>
                        <w14:solidFill>
                          <w14:schemeClr w14:val="tx1"/>
                        </w14:solidFill>
                      </w14:textFill>
                    </w:rPr>
                    <w:t>区段</w:t>
                  </w:r>
                </w:p>
              </w:tc>
              <w:tc>
                <w:tcPr>
                  <w:tcW w:w="2304" w:type="dxa"/>
                  <w:vAlign w:val="top"/>
                </w:tcPr>
                <w:p w14:paraId="4E956938">
                  <w:pPr>
                    <w:pStyle w:val="11"/>
                    <w:spacing w:before="186" w:line="213" w:lineRule="auto"/>
                    <w:ind w:left="178" w:leftChars="0"/>
                    <w:jc w:val="center"/>
                    <w:rPr>
                      <w:rFonts w:hint="eastAsia"/>
                      <w:color w:val="000000" w:themeColor="text1"/>
                      <w:spacing w:val="-4"/>
                      <w:sz w:val="24"/>
                      <w:szCs w:val="24"/>
                      <w:highlight w:val="none"/>
                      <w:vertAlign w:val="baseline"/>
                      <w14:textFill>
                        <w14:solidFill>
                          <w14:schemeClr w14:val="tx1"/>
                        </w14:solidFill>
                      </w14:textFill>
                    </w:rPr>
                  </w:pPr>
                  <w:r>
                    <w:rPr>
                      <w:color w:val="000000" w:themeColor="text1"/>
                      <w:spacing w:val="5"/>
                      <w:highlight w:val="none"/>
                      <w14:textFill>
                        <w14:solidFill>
                          <w14:schemeClr w14:val="tx1"/>
                        </w14:solidFill>
                      </w14:textFill>
                    </w:rPr>
                    <w:t>区段平均值(B2)</w:t>
                  </w:r>
                </w:p>
              </w:tc>
            </w:tr>
            <w:tr w14:paraId="131F1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356" w:type="dxa"/>
                  <w:vAlign w:val="top"/>
                </w:tcPr>
                <w:p w14:paraId="58F03934">
                  <w:pPr>
                    <w:pStyle w:val="11"/>
                    <w:spacing w:before="174" w:line="206" w:lineRule="auto"/>
                    <w:jc w:val="center"/>
                    <w:rPr>
                      <w:rFonts w:hint="eastAsia"/>
                      <w:color w:val="000000" w:themeColor="text1"/>
                      <w:spacing w:val="-4"/>
                      <w:sz w:val="24"/>
                      <w:szCs w:val="24"/>
                      <w:highlight w:val="none"/>
                      <w:vertAlign w:val="baseline"/>
                      <w14:textFill>
                        <w14:solidFill>
                          <w14:schemeClr w14:val="tx1"/>
                        </w14:solidFill>
                      </w14:textFill>
                    </w:rPr>
                  </w:pPr>
                  <w:r>
                    <w:rPr>
                      <w:color w:val="000000" w:themeColor="text1"/>
                      <w:highlight w:val="none"/>
                      <w14:textFill>
                        <w14:solidFill>
                          <w14:schemeClr w14:val="tx1"/>
                        </w14:solidFill>
                      </w14:textFill>
                    </w:rPr>
                    <w:t>1.035*B1&lt;评标价</w:t>
                  </w:r>
                </w:p>
              </w:tc>
              <w:tc>
                <w:tcPr>
                  <w:tcW w:w="2304" w:type="dxa"/>
                  <w:vAlign w:val="top"/>
                </w:tcPr>
                <w:p w14:paraId="2DD74A94">
                  <w:pPr>
                    <w:pStyle w:val="11"/>
                    <w:spacing w:before="207" w:line="178" w:lineRule="auto"/>
                    <w:jc w:val="center"/>
                    <w:rPr>
                      <w:rFonts w:hint="eastAsia"/>
                      <w:color w:val="000000" w:themeColor="text1"/>
                      <w:spacing w:val="-4"/>
                      <w:sz w:val="24"/>
                      <w:szCs w:val="24"/>
                      <w:highlight w:val="none"/>
                      <w:vertAlign w:val="baseline"/>
                      <w14:textFill>
                        <w14:solidFill>
                          <w14:schemeClr w14:val="tx1"/>
                        </w14:solidFill>
                      </w14:textFill>
                    </w:rPr>
                  </w:pPr>
                  <w:r>
                    <w:rPr>
                      <w:color w:val="000000" w:themeColor="text1"/>
                      <w:spacing w:val="-1"/>
                      <w:highlight w:val="none"/>
                      <w14:textFill>
                        <w14:solidFill>
                          <w14:schemeClr w14:val="tx1"/>
                        </w14:solidFill>
                      </w14:textFill>
                    </w:rPr>
                    <w:t>B2.1</w:t>
                  </w:r>
                </w:p>
              </w:tc>
            </w:tr>
            <w:tr w14:paraId="01272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356" w:type="dxa"/>
                  <w:vAlign w:val="top"/>
                </w:tcPr>
                <w:p w14:paraId="5AA36D89">
                  <w:pPr>
                    <w:pStyle w:val="11"/>
                    <w:spacing w:before="184" w:line="197" w:lineRule="auto"/>
                    <w:jc w:val="center"/>
                    <w:rPr>
                      <w:rFonts w:hint="eastAsia"/>
                      <w:color w:val="000000" w:themeColor="text1"/>
                      <w:spacing w:val="-4"/>
                      <w:sz w:val="24"/>
                      <w:szCs w:val="24"/>
                      <w:highlight w:val="none"/>
                      <w:vertAlign w:val="baseline"/>
                      <w14:textFill>
                        <w14:solidFill>
                          <w14:schemeClr w14:val="tx1"/>
                        </w14:solidFill>
                      </w14:textFill>
                    </w:rPr>
                  </w:pPr>
                  <w:r>
                    <w:rPr>
                      <w:color w:val="000000" w:themeColor="text1"/>
                      <w:spacing w:val="1"/>
                      <w:highlight w:val="none"/>
                      <w14:textFill>
                        <w14:solidFill>
                          <w14:schemeClr w14:val="tx1"/>
                        </w14:solidFill>
                      </w14:textFill>
                    </w:rPr>
                    <w:t>1.03*B1&lt;评标价≤1.035*B1</w:t>
                  </w:r>
                </w:p>
              </w:tc>
              <w:tc>
                <w:tcPr>
                  <w:tcW w:w="2304" w:type="dxa"/>
                  <w:vAlign w:val="top"/>
                </w:tcPr>
                <w:p w14:paraId="213D0983">
                  <w:pPr>
                    <w:pStyle w:val="11"/>
                    <w:spacing w:before="228" w:line="160" w:lineRule="auto"/>
                    <w:jc w:val="center"/>
                    <w:rPr>
                      <w:rFonts w:hint="eastAsia"/>
                      <w:color w:val="000000" w:themeColor="text1"/>
                      <w:spacing w:val="-4"/>
                      <w:sz w:val="24"/>
                      <w:szCs w:val="24"/>
                      <w:highlight w:val="none"/>
                      <w:vertAlign w:val="baseline"/>
                      <w14:textFill>
                        <w14:solidFill>
                          <w14:schemeClr w14:val="tx1"/>
                        </w14:solidFill>
                      </w14:textFill>
                    </w:rPr>
                  </w:pPr>
                  <w:r>
                    <w:rPr>
                      <w:color w:val="000000" w:themeColor="text1"/>
                      <w:spacing w:val="-1"/>
                      <w:highlight w:val="none"/>
                      <w14:textFill>
                        <w14:solidFill>
                          <w14:schemeClr w14:val="tx1"/>
                        </w14:solidFill>
                      </w14:textFill>
                    </w:rPr>
                    <w:t>B2.2</w:t>
                  </w:r>
                </w:p>
              </w:tc>
            </w:tr>
            <w:tr w14:paraId="669D6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356" w:type="dxa"/>
                  <w:vAlign w:val="top"/>
                </w:tcPr>
                <w:p w14:paraId="7430EA2C">
                  <w:pPr>
                    <w:pStyle w:val="11"/>
                    <w:spacing w:before="185" w:line="218" w:lineRule="auto"/>
                    <w:jc w:val="center"/>
                    <w:rPr>
                      <w:rFonts w:hint="eastAsia"/>
                      <w:color w:val="000000" w:themeColor="text1"/>
                      <w:spacing w:val="-4"/>
                      <w:sz w:val="24"/>
                      <w:szCs w:val="24"/>
                      <w:highlight w:val="none"/>
                      <w:vertAlign w:val="baseline"/>
                      <w14:textFill>
                        <w14:solidFill>
                          <w14:schemeClr w14:val="tx1"/>
                        </w14:solidFill>
                      </w14:textFill>
                    </w:rPr>
                  </w:pPr>
                  <w:r>
                    <w:rPr>
                      <w:color w:val="000000" w:themeColor="text1"/>
                      <w:spacing w:val="1"/>
                      <w:highlight w:val="none"/>
                      <w14:textFill>
                        <w14:solidFill>
                          <w14:schemeClr w14:val="tx1"/>
                        </w14:solidFill>
                      </w14:textFill>
                    </w:rPr>
                    <w:t>1.025*B1&lt;评标价≤1.03*B1</w:t>
                  </w:r>
                </w:p>
              </w:tc>
              <w:tc>
                <w:tcPr>
                  <w:tcW w:w="2304" w:type="dxa"/>
                  <w:vAlign w:val="top"/>
                </w:tcPr>
                <w:p w14:paraId="470DDCAB">
                  <w:pPr>
                    <w:pStyle w:val="11"/>
                    <w:spacing w:before="209" w:line="202" w:lineRule="auto"/>
                    <w:jc w:val="center"/>
                    <w:rPr>
                      <w:rFonts w:hint="eastAsia"/>
                      <w:color w:val="000000" w:themeColor="text1"/>
                      <w:spacing w:val="-4"/>
                      <w:sz w:val="24"/>
                      <w:szCs w:val="24"/>
                      <w:highlight w:val="none"/>
                      <w:vertAlign w:val="baseline"/>
                      <w14:textFill>
                        <w14:solidFill>
                          <w14:schemeClr w14:val="tx1"/>
                        </w14:solidFill>
                      </w14:textFill>
                    </w:rPr>
                  </w:pPr>
                  <w:r>
                    <w:rPr>
                      <w:color w:val="000000" w:themeColor="text1"/>
                      <w:spacing w:val="-1"/>
                      <w:highlight w:val="none"/>
                      <w14:textFill>
                        <w14:solidFill>
                          <w14:schemeClr w14:val="tx1"/>
                        </w14:solidFill>
                      </w14:textFill>
                    </w:rPr>
                    <w:t>B2.3</w:t>
                  </w:r>
                </w:p>
              </w:tc>
            </w:tr>
            <w:tr w14:paraId="790BD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356" w:type="dxa"/>
                  <w:vAlign w:val="top"/>
                </w:tcPr>
                <w:p w14:paraId="32B85060">
                  <w:pPr>
                    <w:pStyle w:val="11"/>
                    <w:spacing w:before="155" w:line="218" w:lineRule="auto"/>
                    <w:jc w:val="center"/>
                    <w:rPr>
                      <w:rFonts w:hint="eastAsia"/>
                      <w:color w:val="000000" w:themeColor="text1"/>
                      <w:spacing w:val="-4"/>
                      <w:sz w:val="24"/>
                      <w:szCs w:val="24"/>
                      <w:highlight w:val="none"/>
                      <w:vertAlign w:val="baseline"/>
                      <w14:textFill>
                        <w14:solidFill>
                          <w14:schemeClr w14:val="tx1"/>
                        </w14:solidFill>
                      </w14:textFill>
                    </w:rPr>
                  </w:pPr>
                  <w:r>
                    <w:rPr>
                      <w:color w:val="000000" w:themeColor="text1"/>
                      <w:spacing w:val="1"/>
                      <w:highlight w:val="none"/>
                      <w14:textFill>
                        <w14:solidFill>
                          <w14:schemeClr w14:val="tx1"/>
                        </w14:solidFill>
                      </w14:textFill>
                    </w:rPr>
                    <w:t>1.02*B1&lt;评标价≤1.025*B1</w:t>
                  </w:r>
                </w:p>
              </w:tc>
              <w:tc>
                <w:tcPr>
                  <w:tcW w:w="2304" w:type="dxa"/>
                  <w:vAlign w:val="top"/>
                </w:tcPr>
                <w:p w14:paraId="1C864357">
                  <w:pPr>
                    <w:pStyle w:val="11"/>
                    <w:spacing w:before="218" w:line="169" w:lineRule="auto"/>
                    <w:jc w:val="center"/>
                    <w:rPr>
                      <w:rFonts w:hint="eastAsia"/>
                      <w:color w:val="000000" w:themeColor="text1"/>
                      <w:spacing w:val="-4"/>
                      <w:sz w:val="24"/>
                      <w:szCs w:val="24"/>
                      <w:highlight w:val="none"/>
                      <w:vertAlign w:val="baseline"/>
                      <w14:textFill>
                        <w14:solidFill>
                          <w14:schemeClr w14:val="tx1"/>
                        </w14:solidFill>
                      </w14:textFill>
                    </w:rPr>
                  </w:pPr>
                  <w:r>
                    <w:rPr>
                      <w:color w:val="000000" w:themeColor="text1"/>
                      <w:spacing w:val="-1"/>
                      <w:highlight w:val="none"/>
                      <w14:textFill>
                        <w14:solidFill>
                          <w14:schemeClr w14:val="tx1"/>
                        </w14:solidFill>
                      </w14:textFill>
                    </w:rPr>
                    <w:t>B2.4</w:t>
                  </w:r>
                </w:p>
              </w:tc>
            </w:tr>
            <w:tr w14:paraId="02059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356" w:type="dxa"/>
                  <w:vAlign w:val="top"/>
                </w:tcPr>
                <w:p w14:paraId="6E8F09DC">
                  <w:pPr>
                    <w:pStyle w:val="11"/>
                    <w:spacing w:before="165" w:line="218" w:lineRule="auto"/>
                    <w:jc w:val="center"/>
                    <w:rPr>
                      <w:rFonts w:hint="eastAsia"/>
                      <w:color w:val="000000" w:themeColor="text1"/>
                      <w:spacing w:val="-4"/>
                      <w:sz w:val="24"/>
                      <w:szCs w:val="24"/>
                      <w:highlight w:val="none"/>
                      <w:vertAlign w:val="baseline"/>
                      <w14:textFill>
                        <w14:solidFill>
                          <w14:schemeClr w14:val="tx1"/>
                        </w14:solidFill>
                      </w14:textFill>
                    </w:rPr>
                  </w:pPr>
                  <w:r>
                    <w:rPr>
                      <w:color w:val="000000" w:themeColor="text1"/>
                      <w:spacing w:val="1"/>
                      <w:highlight w:val="none"/>
                      <w14:textFill>
                        <w14:solidFill>
                          <w14:schemeClr w14:val="tx1"/>
                        </w14:solidFill>
                      </w14:textFill>
                    </w:rPr>
                    <w:t>1.015*B1&lt;评标价≤1.02*B1</w:t>
                  </w:r>
                </w:p>
              </w:tc>
              <w:tc>
                <w:tcPr>
                  <w:tcW w:w="2304" w:type="dxa"/>
                  <w:vAlign w:val="top"/>
                </w:tcPr>
                <w:p w14:paraId="5912820B">
                  <w:pPr>
                    <w:pStyle w:val="11"/>
                    <w:spacing w:before="219" w:line="193" w:lineRule="auto"/>
                    <w:jc w:val="center"/>
                    <w:rPr>
                      <w:rFonts w:hint="eastAsia"/>
                      <w:color w:val="000000" w:themeColor="text1"/>
                      <w:spacing w:val="-4"/>
                      <w:sz w:val="24"/>
                      <w:szCs w:val="24"/>
                      <w:highlight w:val="none"/>
                      <w:vertAlign w:val="baseline"/>
                      <w14:textFill>
                        <w14:solidFill>
                          <w14:schemeClr w14:val="tx1"/>
                        </w14:solidFill>
                      </w14:textFill>
                    </w:rPr>
                  </w:pPr>
                  <w:r>
                    <w:rPr>
                      <w:color w:val="000000" w:themeColor="text1"/>
                      <w:spacing w:val="-1"/>
                      <w:highlight w:val="none"/>
                      <w14:textFill>
                        <w14:solidFill>
                          <w14:schemeClr w14:val="tx1"/>
                        </w14:solidFill>
                      </w14:textFill>
                    </w:rPr>
                    <w:t>B2.5</w:t>
                  </w:r>
                </w:p>
              </w:tc>
            </w:tr>
            <w:tr w14:paraId="1CC7A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356" w:type="dxa"/>
                  <w:vAlign w:val="top"/>
                </w:tcPr>
                <w:p w14:paraId="6D5E1CC6">
                  <w:pPr>
                    <w:pStyle w:val="11"/>
                    <w:spacing w:before="166" w:line="213" w:lineRule="auto"/>
                    <w:jc w:val="center"/>
                    <w:rPr>
                      <w:rFonts w:hint="eastAsia"/>
                      <w:color w:val="000000" w:themeColor="text1"/>
                      <w:spacing w:val="-4"/>
                      <w:sz w:val="24"/>
                      <w:szCs w:val="24"/>
                      <w:highlight w:val="none"/>
                      <w:vertAlign w:val="baseline"/>
                      <w14:textFill>
                        <w14:solidFill>
                          <w14:schemeClr w14:val="tx1"/>
                        </w14:solidFill>
                      </w14:textFill>
                    </w:rPr>
                  </w:pPr>
                  <w:r>
                    <w:rPr>
                      <w:color w:val="000000" w:themeColor="text1"/>
                      <w:spacing w:val="1"/>
                      <w:highlight w:val="none"/>
                      <w14:textFill>
                        <w14:solidFill>
                          <w14:schemeClr w14:val="tx1"/>
                        </w14:solidFill>
                      </w14:textFill>
                    </w:rPr>
                    <w:t>1.01*B1&lt;评标价≤1.015*B1</w:t>
                  </w:r>
                </w:p>
              </w:tc>
              <w:tc>
                <w:tcPr>
                  <w:tcW w:w="2304" w:type="dxa"/>
                  <w:vAlign w:val="top"/>
                </w:tcPr>
                <w:p w14:paraId="2234341D">
                  <w:pPr>
                    <w:pStyle w:val="11"/>
                    <w:spacing w:before="210" w:line="176" w:lineRule="auto"/>
                    <w:jc w:val="center"/>
                    <w:rPr>
                      <w:rFonts w:hint="eastAsia"/>
                      <w:color w:val="000000" w:themeColor="text1"/>
                      <w:spacing w:val="-4"/>
                      <w:sz w:val="24"/>
                      <w:szCs w:val="24"/>
                      <w:highlight w:val="none"/>
                      <w:vertAlign w:val="baseline"/>
                      <w14:textFill>
                        <w14:solidFill>
                          <w14:schemeClr w14:val="tx1"/>
                        </w14:solidFill>
                      </w14:textFill>
                    </w:rPr>
                  </w:pPr>
                  <w:r>
                    <w:rPr>
                      <w:color w:val="000000" w:themeColor="text1"/>
                      <w:spacing w:val="-1"/>
                      <w:highlight w:val="none"/>
                      <w14:textFill>
                        <w14:solidFill>
                          <w14:schemeClr w14:val="tx1"/>
                        </w14:solidFill>
                      </w14:textFill>
                    </w:rPr>
                    <w:t>B2.6</w:t>
                  </w:r>
                </w:p>
              </w:tc>
            </w:tr>
            <w:tr w14:paraId="1012A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356" w:type="dxa"/>
                  <w:vAlign w:val="top"/>
                </w:tcPr>
                <w:p w14:paraId="4A95A114">
                  <w:pPr>
                    <w:pStyle w:val="11"/>
                    <w:spacing w:before="175" w:line="205" w:lineRule="auto"/>
                    <w:jc w:val="center"/>
                    <w:rPr>
                      <w:rFonts w:hint="eastAsia"/>
                      <w:color w:val="000000" w:themeColor="text1"/>
                      <w:spacing w:val="-4"/>
                      <w:sz w:val="24"/>
                      <w:szCs w:val="24"/>
                      <w:highlight w:val="none"/>
                      <w:vertAlign w:val="baseline"/>
                      <w14:textFill>
                        <w14:solidFill>
                          <w14:schemeClr w14:val="tx1"/>
                        </w14:solidFill>
                      </w14:textFill>
                    </w:rPr>
                  </w:pPr>
                  <w:r>
                    <w:rPr>
                      <w:color w:val="000000" w:themeColor="text1"/>
                      <w:spacing w:val="1"/>
                      <w:highlight w:val="none"/>
                      <w14:textFill>
                        <w14:solidFill>
                          <w14:schemeClr w14:val="tx1"/>
                        </w14:solidFill>
                      </w14:textFill>
                    </w:rPr>
                    <w:t>1.005*B1&lt;评标价≤1.01*B1</w:t>
                  </w:r>
                </w:p>
              </w:tc>
              <w:tc>
                <w:tcPr>
                  <w:tcW w:w="2304" w:type="dxa"/>
                  <w:vAlign w:val="top"/>
                </w:tcPr>
                <w:p w14:paraId="280AD0E6">
                  <w:pPr>
                    <w:pStyle w:val="11"/>
                    <w:spacing w:before="210" w:line="176" w:lineRule="auto"/>
                    <w:jc w:val="center"/>
                    <w:rPr>
                      <w:rFonts w:hint="eastAsia"/>
                      <w:color w:val="000000" w:themeColor="text1"/>
                      <w:spacing w:val="-4"/>
                      <w:sz w:val="24"/>
                      <w:szCs w:val="24"/>
                      <w:highlight w:val="none"/>
                      <w:vertAlign w:val="baseline"/>
                      <w14:textFill>
                        <w14:solidFill>
                          <w14:schemeClr w14:val="tx1"/>
                        </w14:solidFill>
                      </w14:textFill>
                    </w:rPr>
                  </w:pPr>
                  <w:r>
                    <w:rPr>
                      <w:color w:val="000000" w:themeColor="text1"/>
                      <w:spacing w:val="-1"/>
                      <w:highlight w:val="none"/>
                      <w14:textFill>
                        <w14:solidFill>
                          <w14:schemeClr w14:val="tx1"/>
                        </w14:solidFill>
                      </w14:textFill>
                    </w:rPr>
                    <w:t>B2.7</w:t>
                  </w:r>
                </w:p>
              </w:tc>
            </w:tr>
            <w:tr w14:paraId="6C99C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356" w:type="dxa"/>
                  <w:vAlign w:val="top"/>
                </w:tcPr>
                <w:p w14:paraId="4E7FD1E5">
                  <w:pPr>
                    <w:pStyle w:val="11"/>
                    <w:spacing w:before="195" w:line="188" w:lineRule="auto"/>
                    <w:jc w:val="center"/>
                    <w:rPr>
                      <w:rFonts w:hint="eastAsia"/>
                      <w:color w:val="000000" w:themeColor="text1"/>
                      <w:spacing w:val="-4"/>
                      <w:sz w:val="24"/>
                      <w:szCs w:val="24"/>
                      <w:highlight w:val="none"/>
                      <w:vertAlign w:val="baseline"/>
                      <w14:textFill>
                        <w14:solidFill>
                          <w14:schemeClr w14:val="tx1"/>
                        </w14:solidFill>
                      </w14:textFill>
                    </w:rPr>
                  </w:pPr>
                  <w:r>
                    <w:rPr>
                      <w:color w:val="000000" w:themeColor="text1"/>
                      <w:spacing w:val="1"/>
                      <w:highlight w:val="none"/>
                      <w14:textFill>
                        <w14:solidFill>
                          <w14:schemeClr w14:val="tx1"/>
                        </w14:solidFill>
                      </w14:textFill>
                    </w:rPr>
                    <w:t>1.00*B1&lt;评标价≤1.005*B1</w:t>
                  </w:r>
                </w:p>
              </w:tc>
              <w:tc>
                <w:tcPr>
                  <w:tcW w:w="2304" w:type="dxa"/>
                  <w:vAlign w:val="top"/>
                </w:tcPr>
                <w:p w14:paraId="59E2E013">
                  <w:pPr>
                    <w:pStyle w:val="11"/>
                    <w:spacing w:before="230" w:line="159" w:lineRule="auto"/>
                    <w:jc w:val="center"/>
                    <w:rPr>
                      <w:rFonts w:hint="eastAsia"/>
                      <w:color w:val="000000" w:themeColor="text1"/>
                      <w:spacing w:val="-4"/>
                      <w:sz w:val="24"/>
                      <w:szCs w:val="24"/>
                      <w:highlight w:val="none"/>
                      <w:vertAlign w:val="baseline"/>
                      <w14:textFill>
                        <w14:solidFill>
                          <w14:schemeClr w14:val="tx1"/>
                        </w14:solidFill>
                      </w14:textFill>
                    </w:rPr>
                  </w:pPr>
                  <w:r>
                    <w:rPr>
                      <w:color w:val="000000" w:themeColor="text1"/>
                      <w:spacing w:val="-1"/>
                      <w:highlight w:val="none"/>
                      <w14:textFill>
                        <w14:solidFill>
                          <w14:schemeClr w14:val="tx1"/>
                        </w14:solidFill>
                      </w14:textFill>
                    </w:rPr>
                    <w:t>B2.8</w:t>
                  </w:r>
                </w:p>
              </w:tc>
            </w:tr>
            <w:tr w14:paraId="2916E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356" w:type="dxa"/>
                  <w:vAlign w:val="top"/>
                </w:tcPr>
                <w:p w14:paraId="70C3C971">
                  <w:pPr>
                    <w:pStyle w:val="11"/>
                    <w:spacing w:before="186" w:line="218" w:lineRule="auto"/>
                    <w:jc w:val="center"/>
                    <w:rPr>
                      <w:rFonts w:hint="eastAsia"/>
                      <w:color w:val="000000" w:themeColor="text1"/>
                      <w:spacing w:val="-4"/>
                      <w:sz w:val="24"/>
                      <w:szCs w:val="24"/>
                      <w:highlight w:val="none"/>
                      <w:vertAlign w:val="baseline"/>
                      <w14:textFill>
                        <w14:solidFill>
                          <w14:schemeClr w14:val="tx1"/>
                        </w14:solidFill>
                      </w14:textFill>
                    </w:rPr>
                  </w:pPr>
                  <w:r>
                    <w:rPr>
                      <w:color w:val="000000" w:themeColor="text1"/>
                      <w:spacing w:val="1"/>
                      <w:highlight w:val="none"/>
                      <w14:textFill>
                        <w14:solidFill>
                          <w14:schemeClr w14:val="tx1"/>
                        </w14:solidFill>
                      </w14:textFill>
                    </w:rPr>
                    <w:t>0.995*B1&lt;评标价≤1.00*B1</w:t>
                  </w:r>
                </w:p>
              </w:tc>
              <w:tc>
                <w:tcPr>
                  <w:tcW w:w="2304" w:type="dxa"/>
                  <w:vAlign w:val="top"/>
                </w:tcPr>
                <w:p w14:paraId="19B5AFF4">
                  <w:pPr>
                    <w:pStyle w:val="11"/>
                    <w:spacing w:before="240" w:line="175" w:lineRule="auto"/>
                    <w:jc w:val="center"/>
                    <w:rPr>
                      <w:rFonts w:hint="eastAsia"/>
                      <w:color w:val="000000" w:themeColor="text1"/>
                      <w:spacing w:val="-4"/>
                      <w:sz w:val="24"/>
                      <w:szCs w:val="24"/>
                      <w:highlight w:val="none"/>
                      <w:vertAlign w:val="baseline"/>
                      <w14:textFill>
                        <w14:solidFill>
                          <w14:schemeClr w14:val="tx1"/>
                        </w14:solidFill>
                      </w14:textFill>
                    </w:rPr>
                  </w:pPr>
                  <w:r>
                    <w:rPr>
                      <w:color w:val="000000" w:themeColor="text1"/>
                      <w:spacing w:val="-1"/>
                      <w:highlight w:val="none"/>
                      <w14:textFill>
                        <w14:solidFill>
                          <w14:schemeClr w14:val="tx1"/>
                        </w14:solidFill>
                      </w14:textFill>
                    </w:rPr>
                    <w:t>B2.9</w:t>
                  </w:r>
                </w:p>
              </w:tc>
            </w:tr>
            <w:tr w14:paraId="38DB2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356" w:type="dxa"/>
                  <w:vAlign w:val="top"/>
                </w:tcPr>
                <w:p w14:paraId="0E9C3156">
                  <w:pPr>
                    <w:pStyle w:val="11"/>
                    <w:spacing w:before="176" w:line="204" w:lineRule="auto"/>
                    <w:jc w:val="center"/>
                    <w:rPr>
                      <w:rFonts w:hint="eastAsia"/>
                      <w:color w:val="000000" w:themeColor="text1"/>
                      <w:spacing w:val="-4"/>
                      <w:sz w:val="24"/>
                      <w:szCs w:val="24"/>
                      <w:highlight w:val="none"/>
                      <w:vertAlign w:val="baseline"/>
                      <w14:textFill>
                        <w14:solidFill>
                          <w14:schemeClr w14:val="tx1"/>
                        </w14:solidFill>
                      </w14:textFill>
                    </w:rPr>
                  </w:pPr>
                  <w:r>
                    <w:rPr>
                      <w:color w:val="000000" w:themeColor="text1"/>
                      <w:spacing w:val="1"/>
                      <w:highlight w:val="none"/>
                      <w14:textFill>
                        <w14:solidFill>
                          <w14:schemeClr w14:val="tx1"/>
                        </w14:solidFill>
                      </w14:textFill>
                    </w:rPr>
                    <w:t>0.99*B1&lt;评标价≤0.995*B1</w:t>
                  </w:r>
                </w:p>
              </w:tc>
              <w:tc>
                <w:tcPr>
                  <w:tcW w:w="2304" w:type="dxa"/>
                  <w:vAlign w:val="top"/>
                </w:tcPr>
                <w:p w14:paraId="11663412">
                  <w:pPr>
                    <w:pStyle w:val="11"/>
                    <w:spacing w:before="220" w:line="167" w:lineRule="auto"/>
                    <w:jc w:val="center"/>
                    <w:rPr>
                      <w:rFonts w:hint="eastAsia"/>
                      <w:color w:val="000000" w:themeColor="text1"/>
                      <w:spacing w:val="-4"/>
                      <w:sz w:val="24"/>
                      <w:szCs w:val="24"/>
                      <w:highlight w:val="none"/>
                      <w:vertAlign w:val="baseline"/>
                      <w14:textFill>
                        <w14:solidFill>
                          <w14:schemeClr w14:val="tx1"/>
                        </w14:solidFill>
                      </w14:textFill>
                    </w:rPr>
                  </w:pPr>
                  <w:r>
                    <w:rPr>
                      <w:color w:val="000000" w:themeColor="text1"/>
                      <w:spacing w:val="-1"/>
                      <w:highlight w:val="none"/>
                      <w14:textFill>
                        <w14:solidFill>
                          <w14:schemeClr w14:val="tx1"/>
                        </w14:solidFill>
                      </w14:textFill>
                    </w:rPr>
                    <w:t>B2.10</w:t>
                  </w:r>
                </w:p>
              </w:tc>
            </w:tr>
            <w:tr w14:paraId="6DD1D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356" w:type="dxa"/>
                  <w:vAlign w:val="top"/>
                </w:tcPr>
                <w:p w14:paraId="084B369E">
                  <w:pPr>
                    <w:pStyle w:val="11"/>
                    <w:spacing w:before="187" w:line="212" w:lineRule="auto"/>
                    <w:jc w:val="center"/>
                    <w:rPr>
                      <w:rFonts w:hint="eastAsia"/>
                      <w:color w:val="000000" w:themeColor="text1"/>
                      <w:spacing w:val="-4"/>
                      <w:sz w:val="24"/>
                      <w:szCs w:val="24"/>
                      <w:highlight w:val="none"/>
                      <w:vertAlign w:val="baseline"/>
                      <w14:textFill>
                        <w14:solidFill>
                          <w14:schemeClr w14:val="tx1"/>
                        </w14:solidFill>
                      </w14:textFill>
                    </w:rPr>
                  </w:pPr>
                  <w:r>
                    <w:rPr>
                      <w:color w:val="000000" w:themeColor="text1"/>
                      <w:spacing w:val="1"/>
                      <w:highlight w:val="none"/>
                      <w14:textFill>
                        <w14:solidFill>
                          <w14:schemeClr w14:val="tx1"/>
                        </w14:solidFill>
                      </w14:textFill>
                    </w:rPr>
                    <w:t>0.985*B1&lt;评标价≤0.99*B1</w:t>
                  </w:r>
                </w:p>
              </w:tc>
              <w:tc>
                <w:tcPr>
                  <w:tcW w:w="2304" w:type="dxa"/>
                  <w:vAlign w:val="top"/>
                </w:tcPr>
                <w:p w14:paraId="759294F0">
                  <w:pPr>
                    <w:pStyle w:val="11"/>
                    <w:spacing w:before="240" w:line="167" w:lineRule="auto"/>
                    <w:jc w:val="center"/>
                    <w:rPr>
                      <w:rFonts w:hint="eastAsia"/>
                      <w:color w:val="000000" w:themeColor="text1"/>
                      <w:spacing w:val="-4"/>
                      <w:sz w:val="24"/>
                      <w:szCs w:val="24"/>
                      <w:highlight w:val="none"/>
                      <w:vertAlign w:val="baseline"/>
                      <w14:textFill>
                        <w14:solidFill>
                          <w14:schemeClr w14:val="tx1"/>
                        </w14:solidFill>
                      </w14:textFill>
                    </w:rPr>
                  </w:pPr>
                  <w:r>
                    <w:rPr>
                      <w:color w:val="000000" w:themeColor="text1"/>
                      <w:spacing w:val="-1"/>
                      <w:highlight w:val="none"/>
                      <w14:textFill>
                        <w14:solidFill>
                          <w14:schemeClr w14:val="tx1"/>
                        </w14:solidFill>
                      </w14:textFill>
                    </w:rPr>
                    <w:t>B2.11</w:t>
                  </w:r>
                </w:p>
              </w:tc>
            </w:tr>
            <w:tr w14:paraId="2595D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356" w:type="dxa"/>
                  <w:vAlign w:val="top"/>
                </w:tcPr>
                <w:p w14:paraId="775698BA">
                  <w:pPr>
                    <w:pStyle w:val="11"/>
                    <w:spacing w:before="177" w:line="218" w:lineRule="auto"/>
                    <w:jc w:val="center"/>
                    <w:rPr>
                      <w:rFonts w:hint="eastAsia"/>
                      <w:color w:val="000000" w:themeColor="text1"/>
                      <w:spacing w:val="-4"/>
                      <w:sz w:val="24"/>
                      <w:szCs w:val="24"/>
                      <w:highlight w:val="none"/>
                      <w:vertAlign w:val="baseline"/>
                      <w14:textFill>
                        <w14:solidFill>
                          <w14:schemeClr w14:val="tx1"/>
                        </w14:solidFill>
                      </w14:textFill>
                    </w:rPr>
                  </w:pPr>
                  <w:r>
                    <w:rPr>
                      <w:color w:val="000000" w:themeColor="text1"/>
                      <w:spacing w:val="1"/>
                      <w:highlight w:val="none"/>
                      <w14:textFill>
                        <w14:solidFill>
                          <w14:schemeClr w14:val="tx1"/>
                        </w14:solidFill>
                      </w14:textFill>
                    </w:rPr>
                    <w:t>0.98*B1&lt;评标价≤0.985*B1</w:t>
                  </w:r>
                </w:p>
              </w:tc>
              <w:tc>
                <w:tcPr>
                  <w:tcW w:w="2304" w:type="dxa"/>
                  <w:vAlign w:val="top"/>
                </w:tcPr>
                <w:p w14:paraId="2E6C9A6A">
                  <w:pPr>
                    <w:pStyle w:val="11"/>
                    <w:spacing w:before="231" w:line="175" w:lineRule="auto"/>
                    <w:jc w:val="center"/>
                    <w:rPr>
                      <w:rFonts w:hint="eastAsia"/>
                      <w:color w:val="000000" w:themeColor="text1"/>
                      <w:spacing w:val="-4"/>
                      <w:sz w:val="24"/>
                      <w:szCs w:val="24"/>
                      <w:highlight w:val="none"/>
                      <w:vertAlign w:val="baseline"/>
                      <w14:textFill>
                        <w14:solidFill>
                          <w14:schemeClr w14:val="tx1"/>
                        </w14:solidFill>
                      </w14:textFill>
                    </w:rPr>
                  </w:pPr>
                  <w:r>
                    <w:rPr>
                      <w:color w:val="000000" w:themeColor="text1"/>
                      <w:spacing w:val="-3"/>
                      <w:highlight w:val="none"/>
                      <w14:textFill>
                        <w14:solidFill>
                          <w14:schemeClr w14:val="tx1"/>
                        </w14:solidFill>
                      </w14:textFill>
                    </w:rPr>
                    <w:t>B2.</w:t>
                  </w:r>
                  <w:r>
                    <w:rPr>
                      <w:color w:val="000000" w:themeColor="text1"/>
                      <w:spacing w:val="-3"/>
                      <w:highlight w:val="none"/>
                      <w14:textFill>
                        <w14:solidFill>
                          <w14:schemeClr w14:val="tx1"/>
                        </w14:solidFill>
                      </w14:textFill>
                    </w:rPr>
                    <w:t>12</w:t>
                  </w:r>
                </w:p>
              </w:tc>
            </w:tr>
            <w:tr w14:paraId="5524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356" w:type="dxa"/>
                  <w:vAlign w:val="top"/>
                </w:tcPr>
                <w:p w14:paraId="5F9A37D1">
                  <w:pPr>
                    <w:pStyle w:val="11"/>
                    <w:spacing w:before="167" w:line="218" w:lineRule="auto"/>
                    <w:jc w:val="center"/>
                    <w:rPr>
                      <w:rFonts w:hint="eastAsia"/>
                      <w:color w:val="000000" w:themeColor="text1"/>
                      <w:spacing w:val="-4"/>
                      <w:sz w:val="24"/>
                      <w:szCs w:val="24"/>
                      <w:highlight w:val="none"/>
                      <w:vertAlign w:val="baseline"/>
                      <w14:textFill>
                        <w14:solidFill>
                          <w14:schemeClr w14:val="tx1"/>
                        </w14:solidFill>
                      </w14:textFill>
                    </w:rPr>
                  </w:pPr>
                  <w:r>
                    <w:rPr>
                      <w:color w:val="000000" w:themeColor="text1"/>
                      <w:spacing w:val="1"/>
                      <w:highlight w:val="none"/>
                      <w14:textFill>
                        <w14:solidFill>
                          <w14:schemeClr w14:val="tx1"/>
                        </w14:solidFill>
                      </w14:textFill>
                    </w:rPr>
                    <w:t>0.975*B1&lt;评标价≤0.98*B1</w:t>
                  </w:r>
                </w:p>
              </w:tc>
              <w:tc>
                <w:tcPr>
                  <w:tcW w:w="2304" w:type="dxa"/>
                  <w:vAlign w:val="top"/>
                </w:tcPr>
                <w:p w14:paraId="72A9C768">
                  <w:pPr>
                    <w:pStyle w:val="11"/>
                    <w:spacing w:before="190" w:line="200" w:lineRule="auto"/>
                    <w:ind w:left="668" w:leftChars="0"/>
                    <w:rPr>
                      <w:rFonts w:hint="eastAsia"/>
                      <w:color w:val="000000" w:themeColor="text1"/>
                      <w:spacing w:val="-4"/>
                      <w:sz w:val="24"/>
                      <w:szCs w:val="24"/>
                      <w:highlight w:val="none"/>
                      <w:vertAlign w:val="baseline"/>
                      <w14:textFill>
                        <w14:solidFill>
                          <w14:schemeClr w14:val="tx1"/>
                        </w14:solidFill>
                      </w14:textFill>
                    </w:rPr>
                  </w:pPr>
                  <w:r>
                    <w:rPr>
                      <w:color w:val="000000" w:themeColor="text1"/>
                      <w:spacing w:val="-1"/>
                      <w:highlight w:val="none"/>
                      <w14:textFill>
                        <w14:solidFill>
                          <w14:schemeClr w14:val="tx1"/>
                        </w14:solidFill>
                      </w14:textFill>
                    </w:rPr>
                    <w:t>B2.13</w:t>
                  </w:r>
                </w:p>
              </w:tc>
            </w:tr>
            <w:tr w14:paraId="50484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356" w:type="dxa"/>
                  <w:vAlign w:val="top"/>
                </w:tcPr>
                <w:p w14:paraId="3FC6BAEC">
                  <w:pPr>
                    <w:pStyle w:val="11"/>
                    <w:spacing w:before="168" w:line="218" w:lineRule="auto"/>
                    <w:jc w:val="center"/>
                    <w:rPr>
                      <w:rFonts w:hint="eastAsia"/>
                      <w:color w:val="000000" w:themeColor="text1"/>
                      <w:spacing w:val="-4"/>
                      <w:sz w:val="24"/>
                      <w:szCs w:val="24"/>
                      <w:highlight w:val="none"/>
                      <w:vertAlign w:val="baseline"/>
                      <w14:textFill>
                        <w14:solidFill>
                          <w14:schemeClr w14:val="tx1"/>
                        </w14:solidFill>
                      </w14:textFill>
                    </w:rPr>
                  </w:pPr>
                  <w:r>
                    <w:rPr>
                      <w:color w:val="000000" w:themeColor="text1"/>
                      <w:spacing w:val="1"/>
                      <w:highlight w:val="none"/>
                      <w14:textFill>
                        <w14:solidFill>
                          <w14:schemeClr w14:val="tx1"/>
                        </w14:solidFill>
                      </w14:textFill>
                    </w:rPr>
                    <w:t>0.97*B1&lt;评标价≤0.975*B1</w:t>
                  </w:r>
                </w:p>
              </w:tc>
              <w:tc>
                <w:tcPr>
                  <w:tcW w:w="2304" w:type="dxa"/>
                  <w:vAlign w:val="top"/>
                </w:tcPr>
                <w:p w14:paraId="338B09FF">
                  <w:pPr>
                    <w:pStyle w:val="11"/>
                    <w:spacing w:before="201" w:line="199" w:lineRule="auto"/>
                    <w:ind w:left="668" w:leftChars="0"/>
                    <w:rPr>
                      <w:rFonts w:hint="eastAsia"/>
                      <w:color w:val="000000" w:themeColor="text1"/>
                      <w:spacing w:val="-4"/>
                      <w:sz w:val="24"/>
                      <w:szCs w:val="24"/>
                      <w:highlight w:val="none"/>
                      <w:vertAlign w:val="baseline"/>
                      <w14:textFill>
                        <w14:solidFill>
                          <w14:schemeClr w14:val="tx1"/>
                        </w14:solidFill>
                      </w14:textFill>
                    </w:rPr>
                  </w:pPr>
                  <w:r>
                    <w:rPr>
                      <w:color w:val="000000" w:themeColor="text1"/>
                      <w:spacing w:val="-3"/>
                      <w:highlight w:val="none"/>
                      <w14:textFill>
                        <w14:solidFill>
                          <w14:schemeClr w14:val="tx1"/>
                        </w14:solidFill>
                      </w14:textFill>
                    </w:rPr>
                    <w:t>B2.</w:t>
                  </w:r>
                  <w:r>
                    <w:rPr>
                      <w:color w:val="000000" w:themeColor="text1"/>
                      <w:spacing w:val="-3"/>
                      <w:highlight w:val="none"/>
                      <w14:textFill>
                        <w14:solidFill>
                          <w14:schemeClr w14:val="tx1"/>
                        </w14:solidFill>
                      </w14:textFill>
                    </w:rPr>
                    <w:t>14</w:t>
                  </w:r>
                </w:p>
              </w:tc>
            </w:tr>
            <w:tr w14:paraId="24468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356" w:type="dxa"/>
                  <w:vAlign w:val="top"/>
                </w:tcPr>
                <w:p w14:paraId="2CB6642F">
                  <w:pPr>
                    <w:pStyle w:val="11"/>
                    <w:spacing w:before="169" w:line="210" w:lineRule="auto"/>
                    <w:jc w:val="center"/>
                    <w:rPr>
                      <w:rFonts w:hint="eastAsia"/>
                      <w:color w:val="000000" w:themeColor="text1"/>
                      <w:spacing w:val="-4"/>
                      <w:sz w:val="24"/>
                      <w:szCs w:val="24"/>
                      <w:highlight w:val="none"/>
                      <w:vertAlign w:val="baseline"/>
                      <w14:textFill>
                        <w14:solidFill>
                          <w14:schemeClr w14:val="tx1"/>
                        </w14:solidFill>
                      </w14:textFill>
                    </w:rPr>
                  </w:pPr>
                  <w:r>
                    <w:rPr>
                      <w:color w:val="000000" w:themeColor="text1"/>
                      <w:spacing w:val="1"/>
                      <w:highlight w:val="none"/>
                      <w14:textFill>
                        <w14:solidFill>
                          <w14:schemeClr w14:val="tx1"/>
                        </w14:solidFill>
                      </w14:textFill>
                    </w:rPr>
                    <w:t>0.965*B1≤评标价≤0.97*B1</w:t>
                  </w:r>
                </w:p>
              </w:tc>
              <w:tc>
                <w:tcPr>
                  <w:tcW w:w="2304" w:type="dxa"/>
                  <w:vAlign w:val="top"/>
                </w:tcPr>
                <w:p w14:paraId="2B2E78D8">
                  <w:pPr>
                    <w:pStyle w:val="11"/>
                    <w:spacing w:before="212" w:line="174" w:lineRule="auto"/>
                    <w:ind w:left="668" w:leftChars="0"/>
                    <w:rPr>
                      <w:rFonts w:hint="eastAsia"/>
                      <w:color w:val="000000" w:themeColor="text1"/>
                      <w:spacing w:val="-4"/>
                      <w:sz w:val="24"/>
                      <w:szCs w:val="24"/>
                      <w:highlight w:val="none"/>
                      <w:vertAlign w:val="baseline"/>
                      <w14:textFill>
                        <w14:solidFill>
                          <w14:schemeClr w14:val="tx1"/>
                        </w14:solidFill>
                      </w14:textFill>
                    </w:rPr>
                  </w:pPr>
                  <w:r>
                    <w:rPr>
                      <w:color w:val="000000" w:themeColor="text1"/>
                      <w:spacing w:val="-1"/>
                      <w:highlight w:val="none"/>
                      <w14:textFill>
                        <w14:solidFill>
                          <w14:schemeClr w14:val="tx1"/>
                        </w14:solidFill>
                      </w14:textFill>
                    </w:rPr>
                    <w:t>B2.15</w:t>
                  </w:r>
                </w:p>
              </w:tc>
            </w:tr>
            <w:tr w14:paraId="5008C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356" w:type="dxa"/>
                  <w:vAlign w:val="top"/>
                </w:tcPr>
                <w:p w14:paraId="46ADA4A5">
                  <w:pPr>
                    <w:pStyle w:val="11"/>
                    <w:spacing w:before="189" w:line="193" w:lineRule="auto"/>
                    <w:rPr>
                      <w:rFonts w:hint="eastAsia"/>
                      <w:color w:val="000000" w:themeColor="text1"/>
                      <w:spacing w:val="-4"/>
                      <w:sz w:val="24"/>
                      <w:szCs w:val="24"/>
                      <w:highlight w:val="none"/>
                      <w:vertAlign w:val="baseline"/>
                      <w14:textFill>
                        <w14:solidFill>
                          <w14:schemeClr w14:val="tx1"/>
                        </w14:solidFill>
                      </w14:textFill>
                    </w:rPr>
                  </w:pPr>
                  <w:r>
                    <w:rPr>
                      <w:color w:val="000000" w:themeColor="text1"/>
                      <w:spacing w:val="1"/>
                      <w:highlight w:val="none"/>
                      <w14:textFill>
                        <w14:solidFill>
                          <w14:schemeClr w14:val="tx1"/>
                        </w14:solidFill>
                      </w14:textFill>
                    </w:rPr>
                    <w:t>评标价&lt;0.965*B1</w:t>
                  </w:r>
                </w:p>
              </w:tc>
              <w:tc>
                <w:tcPr>
                  <w:tcW w:w="2304" w:type="dxa"/>
                  <w:vAlign w:val="top"/>
                </w:tcPr>
                <w:p w14:paraId="1A21BA3F">
                  <w:pPr>
                    <w:pStyle w:val="11"/>
                    <w:spacing w:before="203" w:line="181" w:lineRule="auto"/>
                    <w:ind w:left="668" w:leftChars="0"/>
                    <w:rPr>
                      <w:rFonts w:hint="eastAsia"/>
                      <w:color w:val="000000" w:themeColor="text1"/>
                      <w:spacing w:val="-4"/>
                      <w:sz w:val="24"/>
                      <w:szCs w:val="24"/>
                      <w:highlight w:val="none"/>
                      <w:vertAlign w:val="baseline"/>
                      <w14:textFill>
                        <w14:solidFill>
                          <w14:schemeClr w14:val="tx1"/>
                        </w14:solidFill>
                      </w14:textFill>
                    </w:rPr>
                  </w:pPr>
                  <w:r>
                    <w:rPr>
                      <w:color w:val="000000" w:themeColor="text1"/>
                      <w:spacing w:val="-1"/>
                      <w:highlight w:val="none"/>
                      <w14:textFill>
                        <w14:solidFill>
                          <w14:schemeClr w14:val="tx1"/>
                        </w14:solidFill>
                      </w14:textFill>
                    </w:rPr>
                    <w:t>B2.16</w:t>
                  </w:r>
                </w:p>
              </w:tc>
            </w:tr>
          </w:tbl>
          <w:p w14:paraId="1C1F2BB6">
            <w:pPr>
              <w:pStyle w:val="11"/>
              <w:keepNext w:val="0"/>
              <w:keepLines w:val="0"/>
              <w:pageBreakBefore w:val="0"/>
              <w:widowControl w:val="0"/>
              <w:kinsoku/>
              <w:wordWrap/>
              <w:overflowPunct/>
              <w:topLinePunct w:val="0"/>
              <w:autoSpaceDE/>
              <w:autoSpaceDN/>
              <w:bidi w:val="0"/>
              <w:adjustRightInd/>
              <w:snapToGrid/>
              <w:spacing w:line="420" w:lineRule="exact"/>
              <w:ind w:right="3" w:firstLine="480" w:firstLineChars="200"/>
              <w:jc w:val="both"/>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3.评标价平均值(B)</w:t>
            </w:r>
          </w:p>
          <w:p w14:paraId="73DFCA7E">
            <w:pPr>
              <w:pStyle w:val="11"/>
              <w:keepNext w:val="0"/>
              <w:keepLines w:val="0"/>
              <w:pageBreakBefore w:val="0"/>
              <w:widowControl w:val="0"/>
              <w:kinsoku/>
              <w:wordWrap/>
              <w:overflowPunct/>
              <w:topLinePunct w:val="0"/>
              <w:autoSpaceDE/>
              <w:autoSpaceDN/>
              <w:bidi w:val="0"/>
              <w:adjustRightInd/>
              <w:snapToGrid/>
              <w:spacing w:line="420" w:lineRule="exact"/>
              <w:ind w:right="3" w:firstLine="480" w:firstLineChars="200"/>
              <w:jc w:val="both"/>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(1)按下列公式，将计算得出的区段平均值(B2.1、B2.2、…… B2.15、B2.16)进行加权平均(B2.1和B2.16权重为0.</w:t>
            </w:r>
            <w:r>
              <w:rPr>
                <w:color w:val="000000" w:themeColor="text1"/>
                <w:sz w:val="24"/>
                <w:szCs w:val="24"/>
                <w:highlight w:val="none"/>
                <w14:textFill>
                  <w14:solidFill>
                    <w14:schemeClr w14:val="tx1"/>
                  </w14:solidFill>
                </w14:textFill>
              </w:rPr>
              <w:t>1,B2.2和B2.15权重为0.3,B2.3和B2.14权重为0.5,其余权重为1.0),得出评标价平均值(B)。</w:t>
            </w:r>
          </w:p>
          <w:p w14:paraId="32D16353">
            <w:pPr>
              <w:pStyle w:val="11"/>
              <w:keepNext w:val="0"/>
              <w:keepLines w:val="0"/>
              <w:pageBreakBefore w:val="0"/>
              <w:widowControl w:val="0"/>
              <w:kinsoku/>
              <w:wordWrap/>
              <w:overflowPunct/>
              <w:topLinePunct w:val="0"/>
              <w:autoSpaceDE/>
              <w:autoSpaceDN/>
              <w:bidi w:val="0"/>
              <w:adjustRightInd/>
              <w:snapToGrid/>
              <w:spacing w:line="420" w:lineRule="exact"/>
              <w:ind w:right="3" w:firstLine="480" w:firstLineChars="200"/>
              <w:jc w:val="left"/>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评标价平均值(B)保留七位小数，小数点后第八位“四舍五入”。 </w:t>
            </w:r>
          </w:p>
          <w:p w14:paraId="53E325A9">
            <w:pPr>
              <w:pStyle w:val="11"/>
              <w:keepNext w:val="0"/>
              <w:keepLines w:val="0"/>
              <w:pageBreakBefore w:val="0"/>
              <w:widowControl w:val="0"/>
              <w:kinsoku/>
              <w:wordWrap/>
              <w:overflowPunct/>
              <w:topLinePunct w:val="0"/>
              <w:autoSpaceDE/>
              <w:autoSpaceDN/>
              <w:bidi w:val="0"/>
              <w:adjustRightInd/>
              <w:snapToGrid/>
              <w:spacing w:line="420" w:lineRule="exact"/>
              <w:ind w:right="3" w:firstLine="480" w:firstLineChars="200"/>
              <w:jc w:val="left"/>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B=[0.1*B2.1+0.3*B2.2+0.5*B2.3+1.0*(B2.4+B2.5+……B2.12+B2.13)+0.5*B2.14+0.3*B2.15+0.1*B2.16]</w:t>
            </w:r>
            <w:r>
              <w:rPr>
                <w:rFonts w:hint="eastAsia"/>
                <w:color w:val="000000" w:themeColor="text1"/>
                <w:sz w:val="24"/>
                <w:szCs w:val="24"/>
                <w:highlight w:val="none"/>
                <w:lang w:val="en-US" w:eastAsia="zh-CN"/>
                <w14:textFill>
                  <w14:solidFill>
                    <w14:schemeClr w14:val="tx1"/>
                  </w14:solidFill>
                </w14:textFill>
              </w:rPr>
              <w:t>/</w:t>
            </w:r>
            <w:r>
              <w:rPr>
                <w:color w:val="000000" w:themeColor="text1"/>
                <w:sz w:val="24"/>
                <w:szCs w:val="24"/>
                <w:highlight w:val="none"/>
                <w14:textFill>
                  <w14:solidFill>
                    <w14:schemeClr w14:val="tx1"/>
                  </w14:solidFill>
                </w14:textFill>
              </w:rPr>
              <w:t>[0.1+0.3+0.5+1.0+1.0+1.0+1.0+1.0</w:t>
            </w:r>
            <w:r>
              <w:rPr>
                <w:rFonts w:hint="eastAsia"/>
                <w:color w:val="000000" w:themeColor="text1"/>
                <w:sz w:val="24"/>
                <w:szCs w:val="24"/>
                <w:highlight w:val="none"/>
                <w:lang w:val="en-US" w:eastAsia="zh-CN"/>
                <w14:textFill>
                  <w14:solidFill>
                    <w14:schemeClr w14:val="tx1"/>
                  </w14:solidFill>
                </w14:textFill>
              </w:rPr>
              <w:t>+</w:t>
            </w:r>
            <w:r>
              <w:rPr>
                <w:color w:val="000000" w:themeColor="text1"/>
                <w:sz w:val="24"/>
                <w:szCs w:val="24"/>
                <w:highlight w:val="none"/>
                <w14:textFill>
                  <w14:solidFill>
                    <w14:schemeClr w14:val="tx1"/>
                  </w14:solidFill>
                </w14:textFill>
              </w:rPr>
              <w:t>1.0+1.0+1.0+1.0+1.0+0.5+0.3+0.1]。</w:t>
            </w:r>
          </w:p>
          <w:p w14:paraId="6CCF8B08">
            <w:pPr>
              <w:pStyle w:val="11"/>
              <w:keepNext w:val="0"/>
              <w:keepLines w:val="0"/>
              <w:pageBreakBefore w:val="0"/>
              <w:widowControl w:val="0"/>
              <w:kinsoku/>
              <w:wordWrap/>
              <w:overflowPunct/>
              <w:topLinePunct w:val="0"/>
              <w:autoSpaceDE/>
              <w:autoSpaceDN/>
              <w:bidi w:val="0"/>
              <w:adjustRightInd/>
              <w:snapToGrid/>
              <w:spacing w:line="420" w:lineRule="exact"/>
              <w:ind w:right="3" w:firstLine="480" w:firstLineChars="200"/>
              <w:jc w:val="both"/>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如果某区段无区段平均值，则该区段不计区段平均值。如：无B2.1、B2.3、B2.9、B2.15等区段平均值，即B2.1、B2.3、B2.9、B2.15以及其权重均等于0,则评标价平均值B=[0.0*0.0+0.3*B2.2+0.0*0.0+1.0*(B2.4+B2.5+……+B2.8+0.0+B2.10+.……B2.12+B2.13)+0.5*B2.14+0.0*0.0+0.1*B2.16]/[0.0+0.3+0.0+1.0+1.0+1.0+1.0+1.0+0.0+1.0+1.0+1.0+1.0+0.5+0.0+0.1]。</w:t>
            </w:r>
          </w:p>
          <w:p w14:paraId="1F999497">
            <w:pPr>
              <w:pStyle w:val="11"/>
              <w:spacing w:before="1" w:line="217" w:lineRule="auto"/>
              <w:ind w:left="526"/>
              <w:rPr>
                <w:color w:val="000000" w:themeColor="text1"/>
                <w:sz w:val="24"/>
                <w:szCs w:val="24"/>
                <w:highlight w:val="none"/>
                <w14:textFill>
                  <w14:solidFill>
                    <w14:schemeClr w14:val="tx1"/>
                  </w14:solidFill>
                </w14:textFill>
              </w:rPr>
            </w:pPr>
            <w:r>
              <w:rPr>
                <w:b/>
                <w:bCs/>
                <w:color w:val="000000" w:themeColor="text1"/>
                <w:spacing w:val="-1"/>
                <w:sz w:val="24"/>
                <w:szCs w:val="24"/>
                <w:highlight w:val="none"/>
                <w14:textFill>
                  <w14:solidFill>
                    <w14:schemeClr w14:val="tx1"/>
                  </w14:solidFill>
                </w14:textFill>
              </w:rPr>
              <w:t>三、评标价平均值(B)计算方法2(首尾去值)</w:t>
            </w:r>
          </w:p>
          <w:p w14:paraId="19DDD3F7">
            <w:pPr>
              <w:pStyle w:val="11"/>
              <w:keepNext w:val="0"/>
              <w:keepLines w:val="0"/>
              <w:pageBreakBefore w:val="0"/>
              <w:widowControl w:val="0"/>
              <w:kinsoku/>
              <w:wordWrap/>
              <w:overflowPunct/>
              <w:topLinePunct w:val="0"/>
              <w:autoSpaceDE/>
              <w:autoSpaceDN/>
              <w:bidi w:val="0"/>
              <w:adjustRightInd/>
              <w:snapToGrid/>
              <w:spacing w:line="440" w:lineRule="exact"/>
              <w:ind w:left="0" w:right="0" w:firstLine="430"/>
              <w:jc w:val="both"/>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根据所有参加评标价平均值计算的评标价(</w:t>
            </w:r>
            <w:r>
              <w:rPr>
                <w:color w:val="000000" w:themeColor="text1"/>
                <w:spacing w:val="-1"/>
                <w:sz w:val="24"/>
                <w:szCs w:val="24"/>
                <w:highlight w:val="none"/>
                <w14:textFill>
                  <w14:solidFill>
                    <w14:schemeClr w14:val="tx1"/>
                  </w14:solidFill>
                </w14:textFill>
              </w:rPr>
              <w:t>个数用P表示)计算评</w:t>
            </w:r>
            <w:r>
              <w:rPr>
                <w:color w:val="000000" w:themeColor="text1"/>
                <w:sz w:val="24"/>
                <w:szCs w:val="24"/>
                <w:highlight w:val="none"/>
                <w14:textFill>
                  <w14:solidFill>
                    <w14:schemeClr w14:val="tx1"/>
                  </w14:solidFill>
                </w14:textFill>
              </w:rPr>
              <w:t>标价平均值(B)。C为招标人设定的最高投</w:t>
            </w:r>
            <w:r>
              <w:rPr>
                <w:color w:val="000000" w:themeColor="text1"/>
                <w:spacing w:val="-1"/>
                <w:sz w:val="24"/>
                <w:szCs w:val="24"/>
                <w:highlight w:val="none"/>
                <w14:textFill>
                  <w14:solidFill>
                    <w14:schemeClr w14:val="tx1"/>
                  </w14:solidFill>
                </w14:textFill>
              </w:rPr>
              <w:t>标限价。评标价平均值保</w:t>
            </w:r>
            <w:r>
              <w:rPr>
                <w:color w:val="000000" w:themeColor="text1"/>
                <w:spacing w:val="1"/>
                <w:sz w:val="24"/>
                <w:szCs w:val="24"/>
                <w:highlight w:val="none"/>
                <w14:textFill>
                  <w14:solidFill>
                    <w14:schemeClr w14:val="tx1"/>
                  </w14:solidFill>
                </w14:textFill>
              </w:rPr>
              <w:t>留七位小数，小数点后第八位“四舍五入”。</w:t>
            </w:r>
          </w:p>
          <w:p w14:paraId="4C073883">
            <w:pPr>
              <w:pStyle w:val="11"/>
              <w:keepNext w:val="0"/>
              <w:keepLines w:val="0"/>
              <w:pageBreakBefore w:val="0"/>
              <w:widowControl w:val="0"/>
              <w:kinsoku/>
              <w:wordWrap/>
              <w:overflowPunct/>
              <w:topLinePunct w:val="0"/>
              <w:autoSpaceDE/>
              <w:autoSpaceDN/>
              <w:bidi w:val="0"/>
              <w:adjustRightInd/>
              <w:snapToGrid/>
              <w:spacing w:line="440" w:lineRule="exact"/>
              <w:ind w:left="0" w:right="0" w:firstLine="440"/>
              <w:textAlignment w:val="auto"/>
              <w:rPr>
                <w:color w:val="000000" w:themeColor="text1"/>
                <w:spacing w:val="-14"/>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w:t>
            </w:r>
            <w:r>
              <w:rPr>
                <w:color w:val="000000" w:themeColor="text1"/>
                <w:sz w:val="24"/>
                <w:szCs w:val="24"/>
                <w:highlight w:val="none"/>
                <w:u w:val="none" w:color="auto"/>
                <w14:textFill>
                  <w14:solidFill>
                    <w14:schemeClr w14:val="tx1"/>
                  </w14:solidFill>
                </w14:textFill>
              </w:rPr>
              <w:t>当P=0时，即所有评标价均低于</w:t>
            </w:r>
            <w:r>
              <w:rPr>
                <w:b/>
                <w:bCs/>
                <w:color w:val="000000" w:themeColor="text1"/>
                <w:sz w:val="24"/>
                <w:szCs w:val="24"/>
                <w:highlight w:val="none"/>
                <w:u w:val="single" w:color="auto"/>
                <w14:textFill>
                  <w14:solidFill>
                    <w14:schemeClr w14:val="tx1"/>
                  </w14:solidFill>
                </w14:textFill>
              </w:rPr>
              <w:t>90%</w:t>
            </w:r>
            <w:r>
              <w:rPr>
                <w:color w:val="000000" w:themeColor="text1"/>
                <w:sz w:val="24"/>
                <w:szCs w:val="24"/>
                <w:highlight w:val="none"/>
                <w14:textFill>
                  <w14:solidFill>
                    <w14:schemeClr w14:val="tx1"/>
                  </w14:solidFill>
                </w14:textFill>
              </w:rPr>
              <w:t>*C值(最高投</w:t>
            </w:r>
            <w:r>
              <w:rPr>
                <w:color w:val="000000" w:themeColor="text1"/>
                <w:spacing w:val="-1"/>
                <w:sz w:val="24"/>
                <w:szCs w:val="24"/>
                <w:highlight w:val="none"/>
                <w14:textFill>
                  <w14:solidFill>
                    <w14:schemeClr w14:val="tx1"/>
                  </w14:solidFill>
                </w14:textFill>
              </w:rPr>
              <w:t>标限价的</w:t>
            </w:r>
            <w:r>
              <w:rPr>
                <w:color w:val="000000" w:themeColor="text1"/>
                <w:sz w:val="24"/>
                <w:szCs w:val="24"/>
                <w:highlight w:val="none"/>
                <w14:textFill>
                  <w14:solidFill>
                    <w14:schemeClr w14:val="tx1"/>
                  </w14:solidFill>
                </w14:textFill>
              </w:rPr>
              <w:t xml:space="preserve"> </w:t>
            </w:r>
            <w:r>
              <w:rPr>
                <w:b/>
                <w:bCs/>
                <w:color w:val="000000" w:themeColor="text1"/>
                <w:sz w:val="24"/>
                <w:szCs w:val="24"/>
                <w:highlight w:val="none"/>
                <w:u w:val="single"/>
                <w14:textFill>
                  <w14:solidFill>
                    <w14:schemeClr w14:val="tx1"/>
                  </w14:solidFill>
                </w14:textFill>
              </w:rPr>
              <w:t>90%</w:t>
            </w:r>
            <w:r>
              <w:rPr>
                <w:color w:val="000000" w:themeColor="text1"/>
                <w:sz w:val="24"/>
                <w:szCs w:val="24"/>
                <w:highlight w:val="none"/>
                <w14:textFill>
                  <w14:solidFill>
                    <w14:schemeClr w14:val="tx1"/>
                  </w14:solidFill>
                </w14:textFill>
              </w:rPr>
              <w:t>),则评标价平均值(B)直接为</w:t>
            </w:r>
            <w:r>
              <w:rPr>
                <w:b/>
                <w:bCs/>
                <w:color w:val="000000" w:themeColor="text1"/>
                <w:sz w:val="24"/>
                <w:szCs w:val="24"/>
                <w:highlight w:val="none"/>
                <w:u w:val="single"/>
                <w14:textFill>
                  <w14:solidFill>
                    <w14:schemeClr w14:val="tx1"/>
                  </w14:solidFill>
                </w14:textFill>
              </w:rPr>
              <w:t>90%</w:t>
            </w:r>
            <w:r>
              <w:rPr>
                <w:color w:val="000000" w:themeColor="text1"/>
                <w:sz w:val="24"/>
                <w:szCs w:val="24"/>
                <w:highlight w:val="none"/>
                <w14:textFill>
                  <w14:solidFill>
                    <w14:schemeClr w14:val="tx1"/>
                  </w14:solidFill>
                </w14:textFill>
              </w:rPr>
              <w:t>*</w:t>
            </w:r>
            <w:r>
              <w:rPr>
                <w:color w:val="000000" w:themeColor="text1"/>
                <w:spacing w:val="-1"/>
                <w:sz w:val="24"/>
                <w:szCs w:val="24"/>
                <w:highlight w:val="none"/>
                <w14:textFill>
                  <w14:solidFill>
                    <w14:schemeClr w14:val="tx1"/>
                  </w14:solidFill>
                </w14:textFill>
              </w:rPr>
              <w:t>C值(最高投标限价的</w:t>
            </w:r>
            <w:r>
              <w:rPr>
                <w:b/>
                <w:bCs/>
                <w:color w:val="000000" w:themeColor="text1"/>
                <w:spacing w:val="-14"/>
                <w:sz w:val="24"/>
                <w:szCs w:val="24"/>
                <w:highlight w:val="none"/>
                <w:u w:val="single" w:color="auto"/>
                <w14:textFill>
                  <w14:solidFill>
                    <w14:schemeClr w14:val="tx1"/>
                  </w14:solidFill>
                </w14:textFill>
              </w:rPr>
              <w:t>90%</w:t>
            </w:r>
            <w:r>
              <w:rPr>
                <w:color w:val="000000" w:themeColor="text1"/>
                <w:spacing w:val="-14"/>
                <w:sz w:val="24"/>
                <w:szCs w:val="24"/>
                <w:highlight w:val="none"/>
                <w14:textFill>
                  <w14:solidFill>
                    <w14:schemeClr w14:val="tx1"/>
                  </w14:solidFill>
                </w14:textFill>
              </w:rPr>
              <w:t>)。</w:t>
            </w:r>
          </w:p>
          <w:p w14:paraId="598182C3">
            <w:pPr>
              <w:pStyle w:val="11"/>
              <w:keepNext w:val="0"/>
              <w:keepLines w:val="0"/>
              <w:pageBreakBefore w:val="0"/>
              <w:widowControl w:val="0"/>
              <w:kinsoku/>
              <w:wordWrap/>
              <w:overflowPunct/>
              <w:topLinePunct w:val="0"/>
              <w:autoSpaceDE/>
              <w:autoSpaceDN/>
              <w:bidi w:val="0"/>
              <w:adjustRightInd/>
              <w:snapToGrid/>
              <w:spacing w:line="440" w:lineRule="exact"/>
              <w:ind w:left="0" w:right="0" w:firstLine="440"/>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2.当0&lt;P≤5时，评标价平均值(B)为P个评标价的算术平均值。</w:t>
            </w:r>
          </w:p>
          <w:p w14:paraId="1EA70FD3">
            <w:pPr>
              <w:pStyle w:val="11"/>
              <w:keepNext w:val="0"/>
              <w:keepLines w:val="0"/>
              <w:pageBreakBefore w:val="0"/>
              <w:widowControl w:val="0"/>
              <w:kinsoku/>
              <w:wordWrap/>
              <w:overflowPunct/>
              <w:topLinePunct w:val="0"/>
              <w:autoSpaceDE/>
              <w:autoSpaceDN/>
              <w:bidi w:val="0"/>
              <w:adjustRightInd/>
              <w:snapToGrid/>
              <w:spacing w:line="440" w:lineRule="atLeast"/>
              <w:ind w:left="0" w:leftChars="0" w:right="0" w:rightChars="0" w:firstLine="390" w:firstLineChars="0"/>
              <w:textAlignment w:val="auto"/>
              <w:rPr>
                <w:rFonts w:hint="eastAsia"/>
                <w:color w:val="000000" w:themeColor="text1"/>
                <w:spacing w:val="1"/>
                <w:sz w:val="24"/>
                <w:szCs w:val="24"/>
                <w:highlight w:val="none"/>
                <w:lang w:eastAsia="zh-CN"/>
                <w14:textFill>
                  <w14:solidFill>
                    <w14:schemeClr w14:val="tx1"/>
                  </w14:solidFill>
                </w14:textFill>
              </w:rPr>
            </w:pPr>
            <w:r>
              <w:rPr>
                <w:color w:val="000000" w:themeColor="text1"/>
                <w:sz w:val="24"/>
                <w:szCs w:val="24"/>
                <w:highlight w:val="none"/>
                <w14:textFill>
                  <w14:solidFill>
                    <w14:schemeClr w14:val="tx1"/>
                  </w14:solidFill>
                </w14:textFill>
              </w:rPr>
              <w:t>3.当P≥6时，在P个评标价中，去掉P1个最高值和P2个最低值</w:t>
            </w:r>
            <w:r>
              <w:rPr>
                <w:color w:val="000000" w:themeColor="text1"/>
                <w:spacing w:val="7"/>
                <w:sz w:val="24"/>
                <w:szCs w:val="24"/>
                <w:highlight w:val="none"/>
                <w14:textFill>
                  <w14:solidFill>
                    <w14:schemeClr w14:val="tx1"/>
                  </w14:solidFill>
                </w14:textFill>
              </w:rPr>
              <w:t xml:space="preserve"> </w:t>
            </w:r>
            <w:r>
              <w:rPr>
                <w:color w:val="000000" w:themeColor="text1"/>
                <w:spacing w:val="2"/>
                <w:sz w:val="24"/>
                <w:szCs w:val="24"/>
                <w:highlight w:val="none"/>
                <w14:textFill>
                  <w14:solidFill>
                    <w14:schemeClr w14:val="tx1"/>
                  </w14:solidFill>
                </w14:textFill>
              </w:rPr>
              <w:t>后的其余评标价的算术平均值为评标价平均</w:t>
            </w:r>
            <w:r>
              <w:rPr>
                <w:color w:val="000000" w:themeColor="text1"/>
                <w:spacing w:val="1"/>
                <w:sz w:val="24"/>
                <w:szCs w:val="24"/>
                <w:highlight w:val="none"/>
                <w14:textFill>
                  <w14:solidFill>
                    <w14:schemeClr w14:val="tx1"/>
                  </w14:solidFill>
                </w14:textFill>
              </w:rPr>
              <w:t>值(B)</w:t>
            </w:r>
            <w:r>
              <w:rPr>
                <w:rFonts w:hint="eastAsia"/>
                <w:color w:val="000000" w:themeColor="text1"/>
                <w:spacing w:val="1"/>
                <w:sz w:val="24"/>
                <w:szCs w:val="24"/>
                <w:highlight w:val="none"/>
                <w:lang w:eastAsia="zh-CN"/>
                <w14:textFill>
                  <w14:solidFill>
                    <w14:schemeClr w14:val="tx1"/>
                  </w14:solidFill>
                </w14:textFill>
              </w:rPr>
              <w:t>：</w:t>
            </w:r>
          </w:p>
          <w:p w14:paraId="3D795034">
            <w:pPr>
              <w:pStyle w:val="11"/>
              <w:keepNext w:val="0"/>
              <w:keepLines w:val="0"/>
              <w:pageBreakBefore w:val="0"/>
              <w:widowControl w:val="0"/>
              <w:kinsoku/>
              <w:wordWrap/>
              <w:overflowPunct/>
              <w:topLinePunct w:val="0"/>
              <w:autoSpaceDE/>
              <w:autoSpaceDN/>
              <w:bidi w:val="0"/>
              <w:adjustRightInd/>
              <w:snapToGrid/>
              <w:spacing w:line="440" w:lineRule="atLeast"/>
              <w:ind w:left="0" w:leftChars="0" w:right="0" w:rightChars="0" w:firstLine="390" w:firstLineChars="0"/>
              <w:textAlignment w:val="auto"/>
              <w:rPr>
                <w:rFonts w:hint="eastAsia" w:eastAsia="宋体"/>
                <w:b w:val="0"/>
                <w:bCs w:val="0"/>
                <w:color w:val="000000" w:themeColor="text1"/>
                <w:sz w:val="24"/>
                <w:szCs w:val="24"/>
                <w:highlight w:val="none"/>
                <w:lang w:eastAsia="zh-CN"/>
                <w14:textFill>
                  <w14:solidFill>
                    <w14:schemeClr w14:val="tx1"/>
                  </w14:solidFill>
                </w14:textFill>
              </w:rPr>
            </w:pPr>
            <w:r>
              <w:rPr>
                <w:b w:val="0"/>
                <w:bCs w:val="0"/>
                <w:color w:val="000000" w:themeColor="text1"/>
                <w:sz w:val="24"/>
                <w:szCs w:val="24"/>
                <w:highlight w:val="none"/>
                <w14:textFill>
                  <w14:solidFill>
                    <w14:schemeClr w14:val="tx1"/>
                  </w14:solidFill>
                </w14:textFill>
              </w:rPr>
              <w:t>①当6≤P≤9时，P1=P2=1</w:t>
            </w:r>
            <w:r>
              <w:rPr>
                <w:rFonts w:hint="eastAsia"/>
                <w:b w:val="0"/>
                <w:bCs w:val="0"/>
                <w:color w:val="000000" w:themeColor="text1"/>
                <w:sz w:val="24"/>
                <w:szCs w:val="24"/>
                <w:highlight w:val="none"/>
                <w:lang w:eastAsia="zh-CN"/>
                <w14:textFill>
                  <w14:solidFill>
                    <w14:schemeClr w14:val="tx1"/>
                  </w14:solidFill>
                </w14:textFill>
              </w:rPr>
              <w:t>；</w:t>
            </w:r>
          </w:p>
          <w:p w14:paraId="636B59C6">
            <w:pPr>
              <w:pStyle w:val="11"/>
              <w:keepNext w:val="0"/>
              <w:keepLines w:val="0"/>
              <w:pageBreakBefore w:val="0"/>
              <w:widowControl w:val="0"/>
              <w:kinsoku/>
              <w:wordWrap/>
              <w:overflowPunct/>
              <w:topLinePunct w:val="0"/>
              <w:autoSpaceDE/>
              <w:autoSpaceDN/>
              <w:bidi w:val="0"/>
              <w:adjustRightInd/>
              <w:snapToGrid/>
              <w:spacing w:line="440" w:lineRule="atLeast"/>
              <w:ind w:left="0" w:leftChars="0" w:right="0" w:rightChars="0" w:firstLine="390" w:firstLineChars="0"/>
              <w:textAlignment w:val="auto"/>
              <w:rPr>
                <w:rFonts w:hint="eastAsia"/>
                <w:b w:val="0"/>
                <w:bCs w:val="0"/>
                <w:color w:val="000000" w:themeColor="text1"/>
                <w:spacing w:val="-1"/>
                <w:sz w:val="24"/>
                <w:szCs w:val="24"/>
                <w:highlight w:val="none"/>
                <w:lang w:eastAsia="zh-CN"/>
                <w14:textFill>
                  <w14:solidFill>
                    <w14:schemeClr w14:val="tx1"/>
                  </w14:solidFill>
                </w14:textFill>
              </w:rPr>
            </w:pPr>
            <w:r>
              <w:rPr>
                <w:b w:val="0"/>
                <w:bCs w:val="0"/>
                <w:color w:val="000000" w:themeColor="text1"/>
                <w:spacing w:val="-1"/>
                <w:sz w:val="24"/>
                <w:szCs w:val="24"/>
                <w:highlight w:val="none"/>
                <w14:textFill>
                  <w14:solidFill>
                    <w14:schemeClr w14:val="tx1"/>
                  </w14:solidFill>
                </w14:textFill>
              </w:rPr>
              <w:t>②当P=10或11或12或13或14时，P1=2,P2=1</w:t>
            </w:r>
            <w:r>
              <w:rPr>
                <w:rFonts w:hint="eastAsia"/>
                <w:b w:val="0"/>
                <w:bCs w:val="0"/>
                <w:color w:val="000000" w:themeColor="text1"/>
                <w:spacing w:val="-1"/>
                <w:sz w:val="24"/>
                <w:szCs w:val="24"/>
                <w:highlight w:val="none"/>
                <w:lang w:eastAsia="zh-CN"/>
                <w14:textFill>
                  <w14:solidFill>
                    <w14:schemeClr w14:val="tx1"/>
                  </w14:solidFill>
                </w14:textFill>
              </w:rPr>
              <w:t>；</w:t>
            </w:r>
          </w:p>
          <w:p w14:paraId="49D4AE99">
            <w:pPr>
              <w:pStyle w:val="11"/>
              <w:keepNext w:val="0"/>
              <w:keepLines w:val="0"/>
              <w:pageBreakBefore w:val="0"/>
              <w:widowControl w:val="0"/>
              <w:kinsoku/>
              <w:wordWrap/>
              <w:overflowPunct/>
              <w:topLinePunct w:val="0"/>
              <w:autoSpaceDE/>
              <w:autoSpaceDN/>
              <w:bidi w:val="0"/>
              <w:adjustRightInd/>
              <w:snapToGrid/>
              <w:spacing w:line="440" w:lineRule="atLeast"/>
              <w:ind w:left="0" w:leftChars="0" w:right="0" w:rightChars="0" w:firstLine="390" w:firstLineChars="0"/>
              <w:textAlignment w:val="auto"/>
              <w:rPr>
                <w:b w:val="0"/>
                <w:bCs w:val="0"/>
                <w:color w:val="000000" w:themeColor="text1"/>
                <w:spacing w:val="-3"/>
                <w:sz w:val="24"/>
                <w:szCs w:val="24"/>
                <w:highlight w:val="none"/>
                <w14:textFill>
                  <w14:solidFill>
                    <w14:schemeClr w14:val="tx1"/>
                  </w14:solidFill>
                </w14:textFill>
              </w:rPr>
            </w:pPr>
            <w:r>
              <w:rPr>
                <w:b w:val="0"/>
                <w:bCs w:val="0"/>
                <w:color w:val="000000" w:themeColor="text1"/>
                <w:spacing w:val="-2"/>
                <w:sz w:val="24"/>
                <w:szCs w:val="24"/>
                <w:highlight w:val="none"/>
                <w14:textFill>
                  <w14:solidFill>
                    <w14:schemeClr w14:val="tx1"/>
                  </w14:solidFill>
                </w14:textFill>
              </w:rPr>
              <w:t>③当P≥15时，P1=Q1,P2=Q2.Q1、Q2是在取值区间(1～Q)中随机连续抽取的两个数值，较大的数值为Q1,较小的</w:t>
            </w:r>
            <w:r>
              <w:rPr>
                <w:b w:val="0"/>
                <w:bCs w:val="0"/>
                <w:color w:val="000000" w:themeColor="text1"/>
                <w:spacing w:val="-3"/>
                <w:sz w:val="24"/>
                <w:szCs w:val="24"/>
                <w:highlight w:val="none"/>
                <w14:textFill>
                  <w14:solidFill>
                    <w14:schemeClr w14:val="tx1"/>
                  </w14:solidFill>
                </w14:textFill>
              </w:rPr>
              <w:t>数值为Q2.Q=INT</w:t>
            </w:r>
            <w:r>
              <w:rPr>
                <w:b w:val="0"/>
                <w:bCs w:val="0"/>
                <w:color w:val="000000" w:themeColor="text1"/>
                <w:sz w:val="24"/>
                <w:szCs w:val="24"/>
                <w:highlight w:val="none"/>
                <w14:textFill>
                  <w14:solidFill>
                    <w14:schemeClr w14:val="tx1"/>
                  </w14:solidFill>
                </w14:textFill>
              </w:rPr>
              <w:t xml:space="preserve"> </w:t>
            </w:r>
            <w:r>
              <w:rPr>
                <w:b w:val="0"/>
                <w:bCs w:val="0"/>
                <w:color w:val="000000" w:themeColor="text1"/>
                <w:spacing w:val="-3"/>
                <w:sz w:val="24"/>
                <w:szCs w:val="24"/>
                <w:highlight w:val="none"/>
                <w14:textFill>
                  <w14:solidFill>
                    <w14:schemeClr w14:val="tx1"/>
                  </w14:solidFill>
                </w14:textFill>
              </w:rPr>
              <w:t>(P/5),即Q为(P/5)向下取整。</w:t>
            </w:r>
          </w:p>
          <w:p w14:paraId="09D7A67D">
            <w:pPr>
              <w:pStyle w:val="11"/>
              <w:keepNext w:val="0"/>
              <w:keepLines w:val="0"/>
              <w:pageBreakBefore w:val="0"/>
              <w:widowControl w:val="0"/>
              <w:kinsoku/>
              <w:wordWrap/>
              <w:overflowPunct/>
              <w:topLinePunct w:val="0"/>
              <w:autoSpaceDE/>
              <w:autoSpaceDN/>
              <w:bidi w:val="0"/>
              <w:adjustRightInd/>
              <w:snapToGrid/>
              <w:spacing w:line="440" w:lineRule="atLeast"/>
              <w:ind w:left="0" w:leftChars="0" w:right="0" w:rightChars="0" w:firstLine="390" w:firstLineChars="0"/>
              <w:textAlignment w:val="auto"/>
              <w:rPr>
                <w:b/>
                <w:bCs/>
                <w:color w:val="000000" w:themeColor="text1"/>
                <w:sz w:val="24"/>
                <w:szCs w:val="24"/>
                <w:highlight w:val="none"/>
                <w14:textFill>
                  <w14:solidFill>
                    <w14:schemeClr w14:val="tx1"/>
                  </w14:solidFill>
                </w14:textFill>
              </w:rPr>
            </w:pPr>
            <w:r>
              <w:rPr>
                <w:b/>
                <w:bCs/>
                <w:color w:val="000000" w:themeColor="text1"/>
                <w:spacing w:val="-1"/>
                <w:sz w:val="24"/>
                <w:szCs w:val="24"/>
                <w:highlight w:val="none"/>
                <w14:textFill>
                  <w14:solidFill>
                    <w14:schemeClr w14:val="tx1"/>
                  </w14:solidFill>
                </w14:textFill>
              </w:rPr>
              <w:t>四、评标价平均值(B)计算方法3(随机步距)</w:t>
            </w:r>
          </w:p>
          <w:p w14:paraId="42C987B6">
            <w:pPr>
              <w:pStyle w:val="11"/>
              <w:keepNext w:val="0"/>
              <w:keepLines w:val="0"/>
              <w:pageBreakBefore w:val="0"/>
              <w:widowControl w:val="0"/>
              <w:kinsoku/>
              <w:wordWrap/>
              <w:overflowPunct/>
              <w:topLinePunct w:val="0"/>
              <w:autoSpaceDE/>
              <w:autoSpaceDN/>
              <w:bidi w:val="0"/>
              <w:adjustRightInd/>
              <w:snapToGrid/>
              <w:spacing w:line="440" w:lineRule="atLeast"/>
              <w:ind w:left="0" w:right="0" w:firstLine="410"/>
              <w:jc w:val="both"/>
              <w:textAlignment w:val="auto"/>
              <w:rPr>
                <w:b w:val="0"/>
                <w:bCs w:val="0"/>
                <w:color w:val="000000" w:themeColor="text1"/>
                <w:sz w:val="24"/>
                <w:szCs w:val="24"/>
                <w:highlight w:val="none"/>
                <w14:textFill>
                  <w14:solidFill>
                    <w14:schemeClr w14:val="tx1"/>
                  </w14:solidFill>
                </w14:textFill>
              </w:rPr>
            </w:pPr>
            <w:r>
              <w:rPr>
                <w:b w:val="0"/>
                <w:bCs w:val="0"/>
                <w:color w:val="000000" w:themeColor="text1"/>
                <w:spacing w:val="-3"/>
                <w:sz w:val="24"/>
                <w:szCs w:val="24"/>
                <w:highlight w:val="none"/>
                <w14:textFill>
                  <w14:solidFill>
                    <w14:schemeClr w14:val="tx1"/>
                  </w14:solidFill>
                </w14:textFill>
              </w:rPr>
              <w:t>根据所有参加评标价平均值计算的评标价(个数用P表示)计算评标价平均值(B)。C为招标人设定的最高投标限价。评标价平均值保留七位小数，小数点后第八位“四舍五入”。</w:t>
            </w:r>
          </w:p>
          <w:p w14:paraId="03CADB9D">
            <w:pPr>
              <w:pStyle w:val="11"/>
              <w:keepNext w:val="0"/>
              <w:keepLines w:val="0"/>
              <w:pageBreakBefore w:val="0"/>
              <w:widowControl w:val="0"/>
              <w:kinsoku/>
              <w:wordWrap/>
              <w:overflowPunct/>
              <w:topLinePunct w:val="0"/>
              <w:autoSpaceDE/>
              <w:autoSpaceDN/>
              <w:bidi w:val="0"/>
              <w:adjustRightInd/>
              <w:snapToGrid/>
              <w:spacing w:line="440" w:lineRule="atLeast"/>
              <w:ind w:left="0" w:right="0" w:firstLine="420"/>
              <w:textAlignment w:val="auto"/>
              <w:rPr>
                <w:b w:val="0"/>
                <w:bCs w:val="0"/>
                <w:color w:val="000000" w:themeColor="text1"/>
                <w:spacing w:val="-18"/>
                <w:sz w:val="24"/>
                <w:szCs w:val="24"/>
                <w:highlight w:val="none"/>
                <w14:textFill>
                  <w14:solidFill>
                    <w14:schemeClr w14:val="tx1"/>
                  </w14:solidFill>
                </w14:textFill>
              </w:rPr>
            </w:pPr>
            <w:r>
              <w:rPr>
                <w:b w:val="0"/>
                <w:bCs w:val="0"/>
                <w:color w:val="000000" w:themeColor="text1"/>
                <w:spacing w:val="-2"/>
                <w:sz w:val="24"/>
                <w:szCs w:val="24"/>
                <w:highlight w:val="none"/>
                <w14:textFill>
                  <w14:solidFill>
                    <w14:schemeClr w14:val="tx1"/>
                  </w14:solidFill>
                </w14:textFill>
              </w:rPr>
              <w:t>1.当P=0时，即所有评标价均低于</w:t>
            </w:r>
            <w:r>
              <w:rPr>
                <w:b/>
                <w:bCs/>
                <w:color w:val="000000" w:themeColor="text1"/>
                <w:spacing w:val="-2"/>
                <w:sz w:val="24"/>
                <w:szCs w:val="24"/>
                <w:highlight w:val="none"/>
                <w:u w:val="single" w:color="auto"/>
                <w14:textFill>
                  <w14:solidFill>
                    <w14:schemeClr w14:val="tx1"/>
                  </w14:solidFill>
                </w14:textFill>
              </w:rPr>
              <w:t xml:space="preserve">90 </w:t>
            </w:r>
            <w:r>
              <w:rPr>
                <w:b/>
                <w:bCs/>
                <w:color w:val="000000" w:themeColor="text1"/>
                <w:spacing w:val="-2"/>
                <w:sz w:val="24"/>
                <w:szCs w:val="24"/>
                <w:highlight w:val="none"/>
                <w14:textFill>
                  <w14:solidFill>
                    <w14:schemeClr w14:val="tx1"/>
                  </w14:solidFill>
                </w14:textFill>
              </w:rPr>
              <w:t>%</w:t>
            </w:r>
            <w:r>
              <w:rPr>
                <w:b w:val="0"/>
                <w:bCs w:val="0"/>
                <w:color w:val="000000" w:themeColor="text1"/>
                <w:spacing w:val="-3"/>
                <w:sz w:val="24"/>
                <w:szCs w:val="24"/>
                <w:highlight w:val="none"/>
                <w14:textFill>
                  <w14:solidFill>
                    <w14:schemeClr w14:val="tx1"/>
                  </w14:solidFill>
                </w14:textFill>
              </w:rPr>
              <w:t>*C值(最高投标限价的</w:t>
            </w:r>
            <w:r>
              <w:rPr>
                <w:b w:val="0"/>
                <w:bCs w:val="0"/>
                <w:color w:val="000000" w:themeColor="text1"/>
                <w:sz w:val="24"/>
                <w:szCs w:val="24"/>
                <w:highlight w:val="none"/>
                <w:u w:val="single"/>
                <w14:textFill>
                  <w14:solidFill>
                    <w14:schemeClr w14:val="tx1"/>
                  </w14:solidFill>
                </w14:textFill>
              </w:rPr>
              <w:t xml:space="preserve"> </w:t>
            </w:r>
            <w:r>
              <w:rPr>
                <w:b/>
                <w:bCs/>
                <w:color w:val="000000" w:themeColor="text1"/>
                <w:spacing w:val="-3"/>
                <w:sz w:val="24"/>
                <w:szCs w:val="24"/>
                <w:highlight w:val="none"/>
                <w:u w:val="single"/>
                <w14:textFill>
                  <w14:solidFill>
                    <w14:schemeClr w14:val="tx1"/>
                  </w14:solidFill>
                </w14:textFill>
              </w:rPr>
              <w:t>90%</w:t>
            </w:r>
            <w:r>
              <w:rPr>
                <w:b w:val="0"/>
                <w:bCs w:val="0"/>
                <w:color w:val="000000" w:themeColor="text1"/>
                <w:spacing w:val="-3"/>
                <w:sz w:val="24"/>
                <w:szCs w:val="24"/>
                <w:highlight w:val="none"/>
                <w14:textFill>
                  <w14:solidFill>
                    <w14:schemeClr w14:val="tx1"/>
                  </w14:solidFill>
                </w14:textFill>
              </w:rPr>
              <w:t>),则评标价平均值(B)直接为</w:t>
            </w:r>
            <w:r>
              <w:rPr>
                <w:b/>
                <w:bCs/>
                <w:color w:val="000000" w:themeColor="text1"/>
                <w:spacing w:val="-3"/>
                <w:sz w:val="24"/>
                <w:szCs w:val="24"/>
                <w:highlight w:val="none"/>
                <w:u w:val="single" w:color="auto"/>
                <w14:textFill>
                  <w14:solidFill>
                    <w14:schemeClr w14:val="tx1"/>
                  </w14:solidFill>
                </w14:textFill>
              </w:rPr>
              <w:t>90%</w:t>
            </w:r>
            <w:r>
              <w:rPr>
                <w:b w:val="0"/>
                <w:bCs w:val="0"/>
                <w:color w:val="000000" w:themeColor="text1"/>
                <w:spacing w:val="-3"/>
                <w:sz w:val="24"/>
                <w:szCs w:val="24"/>
                <w:highlight w:val="none"/>
                <w14:textFill>
                  <w14:solidFill>
                    <w14:schemeClr w14:val="tx1"/>
                  </w14:solidFill>
                </w14:textFill>
              </w:rPr>
              <w:t>*C值(最高投标限价的</w:t>
            </w:r>
            <w:r>
              <w:rPr>
                <w:b/>
                <w:bCs/>
                <w:color w:val="000000" w:themeColor="text1"/>
                <w:spacing w:val="-18"/>
                <w:sz w:val="24"/>
                <w:szCs w:val="24"/>
                <w:highlight w:val="none"/>
                <w:u w:val="single" w:color="auto"/>
                <w14:textFill>
                  <w14:solidFill>
                    <w14:schemeClr w14:val="tx1"/>
                  </w14:solidFill>
                </w14:textFill>
              </w:rPr>
              <w:t>90%</w:t>
            </w:r>
            <w:r>
              <w:rPr>
                <w:rFonts w:hint="eastAsia"/>
                <w:b/>
                <w:bCs/>
                <w:color w:val="000000" w:themeColor="text1"/>
                <w:spacing w:val="-18"/>
                <w:sz w:val="24"/>
                <w:szCs w:val="24"/>
                <w:highlight w:val="none"/>
                <w:u w:val="single" w:color="auto"/>
                <w:lang w:val="en-US" w:eastAsia="zh-CN"/>
                <w14:textFill>
                  <w14:solidFill>
                    <w14:schemeClr w14:val="tx1"/>
                  </w14:solidFill>
                </w14:textFill>
              </w:rPr>
              <w:t xml:space="preserve"> </w:t>
            </w:r>
            <w:r>
              <w:rPr>
                <w:b w:val="0"/>
                <w:bCs w:val="0"/>
                <w:color w:val="000000" w:themeColor="text1"/>
                <w:spacing w:val="-18"/>
                <w:sz w:val="24"/>
                <w:szCs w:val="24"/>
                <w:highlight w:val="none"/>
                <w14:textFill>
                  <w14:solidFill>
                    <w14:schemeClr w14:val="tx1"/>
                  </w14:solidFill>
                </w14:textFill>
              </w:rPr>
              <w:t>)。</w:t>
            </w:r>
          </w:p>
          <w:p w14:paraId="09C2CD2F">
            <w:pPr>
              <w:pStyle w:val="11"/>
              <w:keepNext w:val="0"/>
              <w:keepLines w:val="0"/>
              <w:pageBreakBefore w:val="0"/>
              <w:widowControl w:val="0"/>
              <w:kinsoku/>
              <w:wordWrap/>
              <w:overflowPunct/>
              <w:topLinePunct w:val="0"/>
              <w:autoSpaceDE/>
              <w:autoSpaceDN/>
              <w:bidi w:val="0"/>
              <w:adjustRightInd/>
              <w:snapToGrid/>
              <w:spacing w:line="440" w:lineRule="atLeast"/>
              <w:ind w:left="0" w:right="0" w:firstLine="420"/>
              <w:textAlignment w:val="auto"/>
              <w:rPr>
                <w:b w:val="0"/>
                <w:bCs w:val="0"/>
                <w:color w:val="000000" w:themeColor="text1"/>
                <w:sz w:val="24"/>
                <w:szCs w:val="24"/>
                <w:highlight w:val="none"/>
                <w14:textFill>
                  <w14:solidFill>
                    <w14:schemeClr w14:val="tx1"/>
                  </w14:solidFill>
                </w14:textFill>
              </w:rPr>
            </w:pPr>
            <w:r>
              <w:rPr>
                <w:b w:val="0"/>
                <w:bCs w:val="0"/>
                <w:color w:val="000000" w:themeColor="text1"/>
                <w:spacing w:val="-3"/>
                <w:sz w:val="24"/>
                <w:szCs w:val="24"/>
                <w:highlight w:val="none"/>
                <w14:textFill>
                  <w14:solidFill>
                    <w14:schemeClr w14:val="tx1"/>
                  </w14:solidFill>
                </w14:textFill>
              </w:rPr>
              <w:t>2.当0&lt;P≤5时，评标价平均值(B)为P个评标价的算术平均值。</w:t>
            </w:r>
          </w:p>
          <w:p w14:paraId="04357BAE">
            <w:pPr>
              <w:pStyle w:val="11"/>
              <w:keepNext w:val="0"/>
              <w:keepLines w:val="0"/>
              <w:pageBreakBefore w:val="0"/>
              <w:widowControl w:val="0"/>
              <w:kinsoku/>
              <w:wordWrap/>
              <w:overflowPunct/>
              <w:topLinePunct w:val="0"/>
              <w:autoSpaceDE/>
              <w:autoSpaceDN/>
              <w:bidi w:val="0"/>
              <w:adjustRightInd/>
              <w:snapToGrid/>
              <w:spacing w:line="440" w:lineRule="atLeast"/>
              <w:ind w:left="0" w:right="0" w:firstLine="390"/>
              <w:textAlignment w:val="auto"/>
              <w:rPr>
                <w:b w:val="0"/>
                <w:bCs w:val="0"/>
                <w:color w:val="000000" w:themeColor="text1"/>
                <w:spacing w:val="-3"/>
                <w:sz w:val="24"/>
                <w:szCs w:val="24"/>
                <w:highlight w:val="none"/>
                <w14:textFill>
                  <w14:solidFill>
                    <w14:schemeClr w14:val="tx1"/>
                  </w14:solidFill>
                </w14:textFill>
              </w:rPr>
            </w:pPr>
            <w:r>
              <w:rPr>
                <w:b w:val="0"/>
                <w:bCs w:val="0"/>
                <w:color w:val="000000" w:themeColor="text1"/>
                <w:spacing w:val="-2"/>
                <w:sz w:val="24"/>
                <w:szCs w:val="24"/>
                <w:highlight w:val="none"/>
                <w14:textFill>
                  <w14:solidFill>
                    <w14:schemeClr w14:val="tx1"/>
                  </w14:solidFill>
                </w14:textFill>
              </w:rPr>
              <w:t>3.当P=6或7时，在P个评标价中，去掉1个最高值和1个</w:t>
            </w:r>
            <w:r>
              <w:rPr>
                <w:b w:val="0"/>
                <w:bCs w:val="0"/>
                <w:color w:val="000000" w:themeColor="text1"/>
                <w:spacing w:val="-3"/>
                <w:sz w:val="24"/>
                <w:szCs w:val="24"/>
                <w:highlight w:val="none"/>
                <w14:textFill>
                  <w14:solidFill>
                    <w14:schemeClr w14:val="tx1"/>
                  </w14:solidFill>
                </w14:textFill>
              </w:rPr>
              <w:t>最低值后的其余评标价的算术平均值为评标价平均值(B)。</w:t>
            </w:r>
          </w:p>
          <w:p w14:paraId="439C79FF">
            <w:pPr>
              <w:pStyle w:val="11"/>
              <w:keepNext w:val="0"/>
              <w:keepLines w:val="0"/>
              <w:pageBreakBefore w:val="0"/>
              <w:widowControl w:val="0"/>
              <w:kinsoku/>
              <w:wordWrap/>
              <w:overflowPunct/>
              <w:topLinePunct w:val="0"/>
              <w:autoSpaceDE/>
              <w:autoSpaceDN/>
              <w:bidi w:val="0"/>
              <w:adjustRightInd/>
              <w:snapToGrid/>
              <w:spacing w:line="440" w:lineRule="atLeast"/>
              <w:ind w:left="0" w:right="0" w:firstLine="390"/>
              <w:textAlignment w:val="auto"/>
              <w:rPr>
                <w:b w:val="0"/>
                <w:bCs w:val="0"/>
                <w:color w:val="000000" w:themeColor="text1"/>
                <w:spacing w:val="-3"/>
                <w:sz w:val="24"/>
                <w:szCs w:val="24"/>
                <w:highlight w:val="none"/>
                <w14:textFill>
                  <w14:solidFill>
                    <w14:schemeClr w14:val="tx1"/>
                  </w14:solidFill>
                </w14:textFill>
              </w:rPr>
            </w:pPr>
            <w:r>
              <w:rPr>
                <w:b w:val="0"/>
                <w:bCs w:val="0"/>
                <w:color w:val="000000" w:themeColor="text1"/>
                <w:spacing w:val="-3"/>
                <w:sz w:val="24"/>
                <w:szCs w:val="24"/>
                <w:highlight w:val="none"/>
                <w14:textFill>
                  <w14:solidFill>
                    <w14:schemeClr w14:val="tx1"/>
                  </w14:solidFill>
                </w14:textFill>
              </w:rPr>
              <w:t>4.当P≥8时</w:t>
            </w:r>
          </w:p>
          <w:p w14:paraId="74C649FB">
            <w:pPr>
              <w:pStyle w:val="11"/>
              <w:keepNext w:val="0"/>
              <w:keepLines w:val="0"/>
              <w:pageBreakBefore w:val="0"/>
              <w:widowControl w:val="0"/>
              <w:kinsoku/>
              <w:wordWrap/>
              <w:overflowPunct/>
              <w:topLinePunct w:val="0"/>
              <w:autoSpaceDE/>
              <w:autoSpaceDN/>
              <w:bidi w:val="0"/>
              <w:adjustRightInd/>
              <w:snapToGrid/>
              <w:spacing w:line="440" w:lineRule="atLeast"/>
              <w:ind w:left="0" w:right="0" w:firstLine="390"/>
              <w:textAlignment w:val="auto"/>
              <w:rPr>
                <w:b w:val="0"/>
                <w:bCs w:val="0"/>
                <w:color w:val="000000" w:themeColor="text1"/>
                <w:spacing w:val="-3"/>
                <w:sz w:val="24"/>
                <w:szCs w:val="24"/>
                <w:highlight w:val="none"/>
                <w14:textFill>
                  <w14:solidFill>
                    <w14:schemeClr w14:val="tx1"/>
                  </w14:solidFill>
                </w14:textFill>
              </w:rPr>
            </w:pPr>
            <w:r>
              <w:rPr>
                <w:b w:val="0"/>
                <w:bCs w:val="0"/>
                <w:color w:val="000000" w:themeColor="text1"/>
                <w:spacing w:val="-3"/>
                <w:sz w:val="24"/>
                <w:szCs w:val="24"/>
                <w:highlight w:val="none"/>
                <w14:textFill>
                  <w14:solidFill>
                    <w14:schemeClr w14:val="tx1"/>
                  </w14:solidFill>
                </w14:textFill>
              </w:rPr>
              <w:t>(1)首先，在P个评标价中，去掉P1个最高值和P2个最低值。</w:t>
            </w:r>
          </w:p>
          <w:p w14:paraId="76A8779F">
            <w:pPr>
              <w:pStyle w:val="11"/>
              <w:keepNext w:val="0"/>
              <w:keepLines w:val="0"/>
              <w:pageBreakBefore w:val="0"/>
              <w:widowControl w:val="0"/>
              <w:kinsoku/>
              <w:wordWrap/>
              <w:overflowPunct/>
              <w:topLinePunct w:val="0"/>
              <w:autoSpaceDE/>
              <w:autoSpaceDN/>
              <w:bidi w:val="0"/>
              <w:adjustRightInd/>
              <w:snapToGrid/>
              <w:spacing w:line="440" w:lineRule="atLeast"/>
              <w:ind w:left="0" w:right="0" w:firstLine="390"/>
              <w:textAlignment w:val="auto"/>
              <w:rPr>
                <w:rFonts w:hint="eastAsia"/>
                <w:b w:val="0"/>
                <w:bCs w:val="0"/>
                <w:color w:val="000000" w:themeColor="text1"/>
                <w:sz w:val="24"/>
                <w:szCs w:val="24"/>
                <w:highlight w:val="none"/>
                <w:lang w:eastAsia="zh-CN"/>
                <w14:textFill>
                  <w14:solidFill>
                    <w14:schemeClr w14:val="tx1"/>
                  </w14:solidFill>
                </w14:textFill>
              </w:rPr>
            </w:pPr>
            <w:r>
              <w:rPr>
                <w:b w:val="0"/>
                <w:bCs w:val="0"/>
                <w:color w:val="000000" w:themeColor="text1"/>
                <w:sz w:val="24"/>
                <w:szCs w:val="24"/>
                <w:highlight w:val="none"/>
                <w14:textFill>
                  <w14:solidFill>
                    <w14:schemeClr w14:val="tx1"/>
                  </w14:solidFill>
                </w14:textFill>
              </w:rPr>
              <w:t>①当P=8或9时，P1=P2=1</w:t>
            </w:r>
            <w:r>
              <w:rPr>
                <w:rFonts w:hint="eastAsia"/>
                <w:b w:val="0"/>
                <w:bCs w:val="0"/>
                <w:color w:val="000000" w:themeColor="text1"/>
                <w:sz w:val="24"/>
                <w:szCs w:val="24"/>
                <w:highlight w:val="none"/>
                <w:lang w:eastAsia="zh-CN"/>
                <w14:textFill>
                  <w14:solidFill>
                    <w14:schemeClr w14:val="tx1"/>
                  </w14:solidFill>
                </w14:textFill>
              </w:rPr>
              <w:t>；</w:t>
            </w:r>
          </w:p>
          <w:p w14:paraId="16BBDF21">
            <w:pPr>
              <w:pStyle w:val="11"/>
              <w:keepNext w:val="0"/>
              <w:keepLines w:val="0"/>
              <w:pageBreakBefore w:val="0"/>
              <w:widowControl w:val="0"/>
              <w:kinsoku/>
              <w:wordWrap/>
              <w:overflowPunct/>
              <w:topLinePunct w:val="0"/>
              <w:autoSpaceDE/>
              <w:autoSpaceDN/>
              <w:bidi w:val="0"/>
              <w:adjustRightInd/>
              <w:snapToGrid/>
              <w:spacing w:line="440" w:lineRule="atLeast"/>
              <w:ind w:left="0" w:right="0" w:firstLine="390"/>
              <w:textAlignment w:val="auto"/>
              <w:rPr>
                <w:rFonts w:hint="eastAsia"/>
                <w:b w:val="0"/>
                <w:bCs w:val="0"/>
                <w:color w:val="000000" w:themeColor="text1"/>
                <w:spacing w:val="-1"/>
                <w:sz w:val="24"/>
                <w:szCs w:val="24"/>
                <w:highlight w:val="none"/>
                <w:lang w:eastAsia="zh-CN"/>
                <w14:textFill>
                  <w14:solidFill>
                    <w14:schemeClr w14:val="tx1"/>
                  </w14:solidFill>
                </w14:textFill>
              </w:rPr>
            </w:pPr>
            <w:r>
              <w:rPr>
                <w:b w:val="0"/>
                <w:bCs w:val="0"/>
                <w:color w:val="000000" w:themeColor="text1"/>
                <w:spacing w:val="-1"/>
                <w:sz w:val="24"/>
                <w:szCs w:val="24"/>
                <w:highlight w:val="none"/>
                <w14:textFill>
                  <w14:solidFill>
                    <w14:schemeClr w14:val="tx1"/>
                  </w14:solidFill>
                </w14:textFill>
              </w:rPr>
              <w:t>②当P=10或11或12或13或14时，P1=2,P2=1</w:t>
            </w:r>
            <w:r>
              <w:rPr>
                <w:rFonts w:hint="eastAsia"/>
                <w:b w:val="0"/>
                <w:bCs w:val="0"/>
                <w:color w:val="000000" w:themeColor="text1"/>
                <w:spacing w:val="-1"/>
                <w:sz w:val="24"/>
                <w:szCs w:val="24"/>
                <w:highlight w:val="none"/>
                <w:lang w:eastAsia="zh-CN"/>
                <w14:textFill>
                  <w14:solidFill>
                    <w14:schemeClr w14:val="tx1"/>
                  </w14:solidFill>
                </w14:textFill>
              </w:rPr>
              <w:t>；</w:t>
            </w:r>
          </w:p>
          <w:p w14:paraId="251699B9">
            <w:pPr>
              <w:pStyle w:val="11"/>
              <w:keepNext w:val="0"/>
              <w:keepLines w:val="0"/>
              <w:pageBreakBefore w:val="0"/>
              <w:widowControl w:val="0"/>
              <w:kinsoku/>
              <w:wordWrap/>
              <w:overflowPunct/>
              <w:topLinePunct w:val="0"/>
              <w:autoSpaceDE/>
              <w:autoSpaceDN/>
              <w:bidi w:val="0"/>
              <w:adjustRightInd/>
              <w:snapToGrid/>
              <w:spacing w:line="440" w:lineRule="atLeast"/>
              <w:ind w:left="0" w:right="0" w:firstLine="390"/>
              <w:textAlignment w:val="auto"/>
              <w:rPr>
                <w:b w:val="0"/>
                <w:bCs w:val="0"/>
                <w:color w:val="000000" w:themeColor="text1"/>
                <w:sz w:val="24"/>
                <w:szCs w:val="24"/>
                <w:highlight w:val="none"/>
                <w14:textFill>
                  <w14:solidFill>
                    <w14:schemeClr w14:val="tx1"/>
                  </w14:solidFill>
                </w14:textFill>
              </w:rPr>
            </w:pPr>
            <w:r>
              <w:rPr>
                <w:b w:val="0"/>
                <w:bCs w:val="0"/>
                <w:color w:val="000000" w:themeColor="text1"/>
                <w:spacing w:val="-2"/>
                <w:sz w:val="24"/>
                <w:szCs w:val="24"/>
                <w:highlight w:val="none"/>
                <w14:textFill>
                  <w14:solidFill>
                    <w14:schemeClr w14:val="tx1"/>
                  </w14:solidFill>
                </w14:textFill>
              </w:rPr>
              <w:t>③当P≥15时，P1=Q1,P2=Q2</w:t>
            </w:r>
            <w:r>
              <w:rPr>
                <w:rFonts w:hint="eastAsia"/>
                <w:b w:val="0"/>
                <w:bCs w:val="0"/>
                <w:color w:val="000000" w:themeColor="text1"/>
                <w:spacing w:val="-2"/>
                <w:sz w:val="24"/>
                <w:szCs w:val="24"/>
                <w:highlight w:val="none"/>
                <w:lang w:eastAsia="zh-CN"/>
                <w14:textFill>
                  <w14:solidFill>
                    <w14:schemeClr w14:val="tx1"/>
                  </w14:solidFill>
                </w14:textFill>
              </w:rPr>
              <w:t>。</w:t>
            </w:r>
            <w:r>
              <w:rPr>
                <w:b w:val="0"/>
                <w:bCs w:val="0"/>
                <w:color w:val="000000" w:themeColor="text1"/>
                <w:spacing w:val="-2"/>
                <w:sz w:val="24"/>
                <w:szCs w:val="24"/>
                <w:highlight w:val="none"/>
                <w14:textFill>
                  <w14:solidFill>
                    <w14:schemeClr w14:val="tx1"/>
                  </w14:solidFill>
                </w14:textFill>
              </w:rPr>
              <w:t>Q1、Q2是在取值区间(1～Q)中随机连续抽取的两个数值，较大的数值为Q1,较小的</w:t>
            </w:r>
            <w:r>
              <w:rPr>
                <w:b w:val="0"/>
                <w:bCs w:val="0"/>
                <w:color w:val="000000" w:themeColor="text1"/>
                <w:spacing w:val="-3"/>
                <w:sz w:val="24"/>
                <w:szCs w:val="24"/>
                <w:highlight w:val="none"/>
                <w14:textFill>
                  <w14:solidFill>
                    <w14:schemeClr w14:val="tx1"/>
                  </w14:solidFill>
                </w14:textFill>
              </w:rPr>
              <w:t>数值为Q2</w:t>
            </w:r>
            <w:r>
              <w:rPr>
                <w:rFonts w:hint="eastAsia"/>
                <w:b w:val="0"/>
                <w:bCs w:val="0"/>
                <w:color w:val="000000" w:themeColor="text1"/>
                <w:spacing w:val="-3"/>
                <w:sz w:val="24"/>
                <w:szCs w:val="24"/>
                <w:highlight w:val="none"/>
                <w:lang w:eastAsia="zh-CN"/>
                <w14:textFill>
                  <w14:solidFill>
                    <w14:schemeClr w14:val="tx1"/>
                  </w14:solidFill>
                </w14:textFill>
              </w:rPr>
              <w:t>。</w:t>
            </w:r>
            <w:r>
              <w:rPr>
                <w:b w:val="0"/>
                <w:bCs w:val="0"/>
                <w:color w:val="000000" w:themeColor="text1"/>
                <w:spacing w:val="-3"/>
                <w:sz w:val="24"/>
                <w:szCs w:val="24"/>
                <w:highlight w:val="none"/>
                <w14:textFill>
                  <w14:solidFill>
                    <w14:schemeClr w14:val="tx1"/>
                  </w14:solidFill>
                </w14:textFill>
              </w:rPr>
              <w:t>Q=INT(P/5),即Q为(P/5)向下取整且最小为1。</w:t>
            </w:r>
          </w:p>
          <w:p w14:paraId="59633864">
            <w:pPr>
              <w:pStyle w:val="11"/>
              <w:keepNext w:val="0"/>
              <w:keepLines w:val="0"/>
              <w:pageBreakBefore w:val="0"/>
              <w:widowControl w:val="0"/>
              <w:kinsoku/>
              <w:wordWrap/>
              <w:overflowPunct/>
              <w:topLinePunct w:val="0"/>
              <w:autoSpaceDE/>
              <w:autoSpaceDN/>
              <w:bidi w:val="0"/>
              <w:adjustRightInd/>
              <w:snapToGrid/>
              <w:spacing w:line="440" w:lineRule="atLeast"/>
              <w:ind w:left="0" w:right="0" w:firstLine="510"/>
              <w:jc w:val="both"/>
              <w:textAlignment w:val="auto"/>
              <w:rPr>
                <w:b w:val="0"/>
                <w:bCs w:val="0"/>
                <w:color w:val="000000" w:themeColor="text1"/>
                <w:spacing w:val="-4"/>
                <w:sz w:val="24"/>
                <w:szCs w:val="24"/>
                <w:highlight w:val="none"/>
                <w14:textFill>
                  <w14:solidFill>
                    <w14:schemeClr w14:val="tx1"/>
                  </w14:solidFill>
                </w14:textFill>
              </w:rPr>
            </w:pPr>
            <w:r>
              <w:rPr>
                <w:b w:val="0"/>
                <w:bCs w:val="0"/>
                <w:color w:val="000000" w:themeColor="text1"/>
                <w:spacing w:val="1"/>
                <w:sz w:val="24"/>
                <w:szCs w:val="24"/>
                <w:highlight w:val="none"/>
                <w14:textFill>
                  <w14:solidFill>
                    <w14:schemeClr w14:val="tx1"/>
                  </w14:solidFill>
                </w14:textFill>
              </w:rPr>
              <w:t>(2)然后，将其余评标价由低到高排列，对排列第(1、1+R、</w:t>
            </w:r>
            <w:r>
              <w:rPr>
                <w:b w:val="0"/>
                <w:bCs w:val="0"/>
                <w:color w:val="000000" w:themeColor="text1"/>
                <w:spacing w:val="3"/>
                <w:sz w:val="24"/>
                <w:szCs w:val="24"/>
                <w:highlight w:val="none"/>
                <w14:textFill>
                  <w14:solidFill>
                    <w14:schemeClr w14:val="tx1"/>
                  </w14:solidFill>
                </w14:textFill>
              </w:rPr>
              <w:t xml:space="preserve"> </w:t>
            </w:r>
            <w:r>
              <w:rPr>
                <w:b w:val="0"/>
                <w:bCs w:val="0"/>
                <w:color w:val="000000" w:themeColor="text1"/>
                <w:spacing w:val="-2"/>
                <w:sz w:val="24"/>
                <w:szCs w:val="24"/>
                <w:highlight w:val="none"/>
                <w14:textFill>
                  <w14:solidFill>
                    <w14:schemeClr w14:val="tx1"/>
                  </w14:solidFill>
                </w14:textFill>
              </w:rPr>
              <w:t>1+2R、……</w:t>
            </w:r>
            <w:r>
              <w:rPr>
                <w:rFonts w:hint="eastAsia"/>
                <w:b w:val="0"/>
                <w:bCs w:val="0"/>
                <w:color w:val="000000" w:themeColor="text1"/>
                <w:spacing w:val="-2"/>
                <w:sz w:val="24"/>
                <w:szCs w:val="24"/>
                <w:highlight w:val="none"/>
                <w:lang w:eastAsia="zh-CN"/>
                <w14:textFill>
                  <w14:solidFill>
                    <w14:schemeClr w14:val="tx1"/>
                  </w14:solidFill>
                </w14:textFill>
              </w:rPr>
              <w:t>、</w:t>
            </w:r>
            <w:r>
              <w:rPr>
                <w:b w:val="0"/>
                <w:bCs w:val="0"/>
                <w:color w:val="000000" w:themeColor="text1"/>
                <w:spacing w:val="-2"/>
                <w:sz w:val="24"/>
                <w:szCs w:val="24"/>
                <w:highlight w:val="none"/>
                <w14:textFill>
                  <w14:solidFill>
                    <w14:schemeClr w14:val="tx1"/>
                  </w14:solidFill>
                </w14:textFill>
              </w:rPr>
              <w:t>1+SR)的评标价进行算术平均，该算</w:t>
            </w:r>
            <w:r>
              <w:rPr>
                <w:b w:val="0"/>
                <w:bCs w:val="0"/>
                <w:color w:val="000000" w:themeColor="text1"/>
                <w:spacing w:val="-3"/>
                <w:sz w:val="24"/>
                <w:szCs w:val="24"/>
                <w:highlight w:val="none"/>
                <w14:textFill>
                  <w14:solidFill>
                    <w14:schemeClr w14:val="tx1"/>
                  </w14:solidFill>
                </w14:textFill>
              </w:rPr>
              <w:t>术平均值为评标价</w:t>
            </w:r>
            <w:r>
              <w:rPr>
                <w:b w:val="0"/>
                <w:bCs w:val="0"/>
                <w:color w:val="000000" w:themeColor="text1"/>
                <w:spacing w:val="-4"/>
                <w:sz w:val="24"/>
                <w:szCs w:val="24"/>
                <w:highlight w:val="none"/>
                <w14:textFill>
                  <w14:solidFill>
                    <w14:schemeClr w14:val="tx1"/>
                  </w14:solidFill>
                </w14:textFill>
              </w:rPr>
              <w:t>平均值(B)。</w:t>
            </w:r>
          </w:p>
          <w:p w14:paraId="36592E73">
            <w:pPr>
              <w:pStyle w:val="11"/>
              <w:keepNext w:val="0"/>
              <w:keepLines w:val="0"/>
              <w:pageBreakBefore w:val="0"/>
              <w:widowControl w:val="0"/>
              <w:kinsoku/>
              <w:wordWrap/>
              <w:overflowPunct/>
              <w:topLinePunct w:val="0"/>
              <w:autoSpaceDE/>
              <w:autoSpaceDN/>
              <w:bidi w:val="0"/>
              <w:adjustRightInd/>
              <w:snapToGrid/>
              <w:spacing w:line="440" w:lineRule="atLeast"/>
              <w:ind w:left="0" w:right="0" w:firstLine="510"/>
              <w:jc w:val="both"/>
              <w:textAlignment w:val="auto"/>
              <w:rPr>
                <w:b w:val="0"/>
                <w:bCs w:val="0"/>
                <w:color w:val="000000" w:themeColor="text1"/>
                <w:spacing w:val="-6"/>
                <w:sz w:val="24"/>
                <w:szCs w:val="24"/>
                <w:highlight w:val="none"/>
                <w14:textFill>
                  <w14:solidFill>
                    <w14:schemeClr w14:val="tx1"/>
                  </w14:solidFill>
                </w14:textFill>
              </w:rPr>
            </w:pPr>
            <w:r>
              <w:rPr>
                <w:b w:val="0"/>
                <w:bCs w:val="0"/>
                <w:color w:val="000000" w:themeColor="text1"/>
                <w:spacing w:val="-6"/>
                <w:sz w:val="24"/>
                <w:szCs w:val="24"/>
                <w:highlight w:val="none"/>
                <w14:textFill>
                  <w14:solidFill>
                    <w14:schemeClr w14:val="tx1"/>
                  </w14:solidFill>
                </w14:textFill>
              </w:rPr>
              <w:t>R为随机步距，在开标现场随机抽取，取值范围为3、4、5。</w:t>
            </w:r>
          </w:p>
          <w:p w14:paraId="063348B5">
            <w:pPr>
              <w:pStyle w:val="11"/>
              <w:keepNext w:val="0"/>
              <w:keepLines w:val="0"/>
              <w:pageBreakBefore w:val="0"/>
              <w:widowControl w:val="0"/>
              <w:kinsoku/>
              <w:wordWrap/>
              <w:overflowPunct/>
              <w:topLinePunct w:val="0"/>
              <w:autoSpaceDE/>
              <w:autoSpaceDN/>
              <w:bidi w:val="0"/>
              <w:adjustRightInd/>
              <w:snapToGrid/>
              <w:spacing w:line="440" w:lineRule="atLeast"/>
              <w:ind w:left="0" w:right="0" w:firstLine="510"/>
              <w:jc w:val="both"/>
              <w:textAlignment w:val="auto"/>
              <w:rPr>
                <w:b w:val="0"/>
                <w:bCs w:val="0"/>
                <w:color w:val="000000" w:themeColor="text1"/>
                <w:spacing w:val="-17"/>
                <w:sz w:val="24"/>
                <w:szCs w:val="24"/>
                <w:highlight w:val="none"/>
                <w14:textFill>
                  <w14:solidFill>
                    <w14:schemeClr w14:val="tx1"/>
                  </w14:solidFill>
                </w14:textFill>
              </w:rPr>
            </w:pPr>
            <w:r>
              <w:rPr>
                <w:b w:val="0"/>
                <w:bCs w:val="0"/>
                <w:color w:val="000000" w:themeColor="text1"/>
                <w:spacing w:val="-17"/>
                <w:sz w:val="24"/>
                <w:szCs w:val="24"/>
                <w:highlight w:val="none"/>
                <w14:textFill>
                  <w14:solidFill>
                    <w14:schemeClr w14:val="tx1"/>
                  </w14:solidFill>
                </w14:textFill>
              </w:rPr>
              <w:t>S为步距个数，S=INT[(P-P1-P2-1)/R],即S为[(P-P1-P2-1)/R] 向下取整。</w:t>
            </w:r>
          </w:p>
          <w:p w14:paraId="4512B169">
            <w:pPr>
              <w:pStyle w:val="11"/>
              <w:keepNext w:val="0"/>
              <w:keepLines w:val="0"/>
              <w:pageBreakBefore w:val="0"/>
              <w:widowControl w:val="0"/>
              <w:kinsoku/>
              <w:wordWrap/>
              <w:overflowPunct/>
              <w:topLinePunct w:val="0"/>
              <w:autoSpaceDE/>
              <w:autoSpaceDN/>
              <w:bidi w:val="0"/>
              <w:adjustRightInd/>
              <w:snapToGrid/>
              <w:spacing w:line="440" w:lineRule="atLeast"/>
              <w:ind w:left="0" w:right="0" w:firstLine="510"/>
              <w:jc w:val="both"/>
              <w:textAlignment w:val="auto"/>
              <w:rPr>
                <w:b/>
                <w:bCs/>
                <w:color w:val="000000" w:themeColor="text1"/>
                <w:spacing w:val="0"/>
                <w:sz w:val="24"/>
                <w:szCs w:val="24"/>
                <w:highlight w:val="none"/>
                <w14:textFill>
                  <w14:solidFill>
                    <w14:schemeClr w14:val="tx1"/>
                  </w14:solidFill>
                </w14:textFill>
              </w:rPr>
            </w:pPr>
            <w:r>
              <w:rPr>
                <w:b/>
                <w:bCs/>
                <w:color w:val="000000" w:themeColor="text1"/>
                <w:spacing w:val="0"/>
                <w:sz w:val="24"/>
                <w:szCs w:val="24"/>
                <w:highlight w:val="none"/>
                <w14:textFill>
                  <w14:solidFill>
                    <w14:schemeClr w14:val="tx1"/>
                  </w14:solidFill>
                </w14:textFill>
              </w:rPr>
              <w:t>五、评标基准价(D)</w:t>
            </w:r>
          </w:p>
          <w:p w14:paraId="056737E0">
            <w:pPr>
              <w:pStyle w:val="11"/>
              <w:keepNext w:val="0"/>
              <w:keepLines w:val="0"/>
              <w:pageBreakBefore w:val="0"/>
              <w:widowControl w:val="0"/>
              <w:kinsoku/>
              <w:wordWrap/>
              <w:overflowPunct/>
              <w:topLinePunct w:val="0"/>
              <w:autoSpaceDE/>
              <w:autoSpaceDN/>
              <w:bidi w:val="0"/>
              <w:adjustRightInd/>
              <w:snapToGrid/>
              <w:spacing w:line="440" w:lineRule="atLeast"/>
              <w:ind w:left="0" w:right="0" w:firstLine="510"/>
              <w:jc w:val="both"/>
              <w:textAlignment w:val="auto"/>
              <w:rPr>
                <w:b w:val="0"/>
                <w:bCs w:val="0"/>
                <w:color w:val="000000" w:themeColor="text1"/>
                <w:sz w:val="24"/>
                <w:szCs w:val="24"/>
                <w:highlight w:val="none"/>
                <w14:textFill>
                  <w14:solidFill>
                    <w14:schemeClr w14:val="tx1"/>
                  </w14:solidFill>
                </w14:textFill>
              </w:rPr>
            </w:pPr>
            <w:r>
              <w:rPr>
                <w:b w:val="0"/>
                <w:bCs w:val="0"/>
                <w:color w:val="000000" w:themeColor="text1"/>
                <w:spacing w:val="-2"/>
                <w:sz w:val="24"/>
                <w:szCs w:val="24"/>
                <w:highlight w:val="none"/>
                <w14:textFill>
                  <w14:solidFill>
                    <w14:schemeClr w14:val="tx1"/>
                  </w14:solidFill>
                </w14:textFill>
              </w:rPr>
              <w:t>D=[C*K+B*(1-K)]*(1-Z),保留七位小数，小数点后第八位“四</w:t>
            </w:r>
            <w:r>
              <w:rPr>
                <w:b w:val="0"/>
                <w:bCs w:val="0"/>
                <w:color w:val="000000" w:themeColor="text1"/>
                <w:sz w:val="24"/>
                <w:szCs w:val="24"/>
                <w:highlight w:val="none"/>
                <w14:textFill>
                  <w14:solidFill>
                    <w14:schemeClr w14:val="tx1"/>
                  </w14:solidFill>
                </w14:textFill>
              </w:rPr>
              <w:t>舍五入”。</w:t>
            </w:r>
          </w:p>
          <w:p w14:paraId="23474EF5">
            <w:pPr>
              <w:pStyle w:val="11"/>
              <w:keepNext w:val="0"/>
              <w:keepLines w:val="0"/>
              <w:pageBreakBefore w:val="0"/>
              <w:widowControl w:val="0"/>
              <w:kinsoku/>
              <w:wordWrap/>
              <w:overflowPunct/>
              <w:topLinePunct w:val="0"/>
              <w:autoSpaceDE/>
              <w:autoSpaceDN/>
              <w:bidi w:val="0"/>
              <w:adjustRightInd/>
              <w:snapToGrid/>
              <w:spacing w:line="440" w:lineRule="atLeast"/>
              <w:ind w:left="0" w:right="0" w:firstLine="480" w:firstLineChars="200"/>
              <w:textAlignment w:val="auto"/>
              <w:rPr>
                <w:b w:val="0"/>
                <w:bCs w:val="0"/>
                <w:color w:val="000000" w:themeColor="text1"/>
                <w:sz w:val="24"/>
                <w:szCs w:val="24"/>
                <w:highlight w:val="none"/>
                <w14:textFill>
                  <w14:solidFill>
                    <w14:schemeClr w14:val="tx1"/>
                  </w14:solidFill>
                </w14:textFill>
              </w:rPr>
            </w:pPr>
            <w:r>
              <w:rPr>
                <w:b w:val="0"/>
                <w:bCs w:val="0"/>
                <w:color w:val="000000" w:themeColor="text1"/>
                <w:sz w:val="24"/>
                <w:szCs w:val="24"/>
                <w:highlight w:val="none"/>
                <w14:textFill>
                  <w14:solidFill>
                    <w14:schemeClr w14:val="tx1"/>
                  </w14:solidFill>
                </w14:textFill>
              </w:rPr>
              <w:t>式中：</w:t>
            </w:r>
          </w:p>
          <w:p w14:paraId="2A202B03">
            <w:pPr>
              <w:pStyle w:val="11"/>
              <w:keepNext w:val="0"/>
              <w:keepLines w:val="0"/>
              <w:pageBreakBefore w:val="0"/>
              <w:widowControl w:val="0"/>
              <w:kinsoku/>
              <w:wordWrap/>
              <w:overflowPunct/>
              <w:topLinePunct w:val="0"/>
              <w:autoSpaceDE/>
              <w:autoSpaceDN/>
              <w:bidi w:val="0"/>
              <w:adjustRightInd/>
              <w:snapToGrid/>
              <w:spacing w:line="440" w:lineRule="atLeast"/>
              <w:ind w:left="0" w:right="0" w:firstLine="480" w:firstLineChars="200"/>
              <w:textAlignment w:val="auto"/>
              <w:rPr>
                <w:b w:val="0"/>
                <w:bCs w:val="0"/>
                <w:color w:val="000000" w:themeColor="text1"/>
                <w:sz w:val="24"/>
                <w:szCs w:val="24"/>
                <w:highlight w:val="none"/>
                <w14:textFill>
                  <w14:solidFill>
                    <w14:schemeClr w14:val="tx1"/>
                  </w14:solidFill>
                </w14:textFill>
              </w:rPr>
            </w:pPr>
            <w:r>
              <w:rPr>
                <w:b w:val="0"/>
                <w:bCs w:val="0"/>
                <w:color w:val="000000" w:themeColor="text1"/>
                <w:sz w:val="24"/>
                <w:szCs w:val="24"/>
                <w:highlight w:val="none"/>
                <w14:textFill>
                  <w14:solidFill>
                    <w14:schemeClr w14:val="tx1"/>
                  </w14:solidFill>
                </w14:textFill>
              </w:rPr>
              <w:t>1.C为招标人设定的最高投标限价，B为评标价平均值。</w:t>
            </w:r>
          </w:p>
          <w:p w14:paraId="685E08BF">
            <w:pPr>
              <w:pStyle w:val="11"/>
              <w:keepNext w:val="0"/>
              <w:keepLines w:val="0"/>
              <w:pageBreakBefore w:val="0"/>
              <w:widowControl w:val="0"/>
              <w:kinsoku/>
              <w:wordWrap/>
              <w:overflowPunct/>
              <w:topLinePunct w:val="0"/>
              <w:autoSpaceDE/>
              <w:autoSpaceDN/>
              <w:bidi w:val="0"/>
              <w:adjustRightInd/>
              <w:snapToGrid/>
              <w:spacing w:line="440" w:lineRule="atLeast"/>
              <w:ind w:left="0" w:right="0" w:firstLine="480" w:firstLineChars="200"/>
              <w:textAlignment w:val="auto"/>
              <w:rPr>
                <w:b w:val="0"/>
                <w:bCs w:val="0"/>
                <w:color w:val="000000" w:themeColor="text1"/>
                <w:sz w:val="24"/>
                <w:szCs w:val="24"/>
                <w:highlight w:val="none"/>
                <w14:textFill>
                  <w14:solidFill>
                    <w14:schemeClr w14:val="tx1"/>
                  </w14:solidFill>
                </w14:textFill>
              </w:rPr>
            </w:pPr>
            <w:r>
              <w:rPr>
                <w:b w:val="0"/>
                <w:bCs w:val="0"/>
                <w:color w:val="000000" w:themeColor="text1"/>
                <w:sz w:val="24"/>
                <w:szCs w:val="24"/>
                <w:highlight w:val="none"/>
                <w14:textFill>
                  <w14:solidFill>
                    <w14:schemeClr w14:val="tx1"/>
                  </w14:solidFill>
                </w14:textFill>
              </w:rPr>
              <w:t>2.K为权重系数，K=[(K1/10)+K2]/1</w:t>
            </w:r>
            <w:r>
              <w:rPr>
                <w:b w:val="0"/>
                <w:bCs w:val="0"/>
                <w:color w:val="000000" w:themeColor="text1"/>
                <w:spacing w:val="-1"/>
                <w:sz w:val="24"/>
                <w:szCs w:val="24"/>
                <w:highlight w:val="none"/>
                <w14:textFill>
                  <w14:solidFill>
                    <w14:schemeClr w14:val="tx1"/>
                  </w14:solidFill>
                </w14:textFill>
              </w:rPr>
              <w:t>0。各标段的K1在开标现</w:t>
            </w:r>
            <w:r>
              <w:rPr>
                <w:b w:val="0"/>
                <w:bCs w:val="0"/>
                <w:color w:val="000000" w:themeColor="text1"/>
                <w:sz w:val="24"/>
                <w:szCs w:val="24"/>
                <w:highlight w:val="none"/>
                <w14:textFill>
                  <w14:solidFill>
                    <w14:schemeClr w14:val="tx1"/>
                  </w14:solidFill>
                </w14:textFill>
              </w:rPr>
              <w:t>场从0、1、2、3、4、5、6、7、8、9等10个系数</w:t>
            </w:r>
            <w:r>
              <w:rPr>
                <w:b w:val="0"/>
                <w:bCs w:val="0"/>
                <w:color w:val="000000" w:themeColor="text1"/>
                <w:spacing w:val="-1"/>
                <w:sz w:val="24"/>
                <w:szCs w:val="24"/>
                <w:highlight w:val="none"/>
                <w14:textFill>
                  <w14:solidFill>
                    <w14:schemeClr w14:val="tx1"/>
                  </w14:solidFill>
                </w14:textFill>
              </w:rPr>
              <w:t>中随机抽取。各标段</w:t>
            </w:r>
            <w:r>
              <w:rPr>
                <w:b w:val="0"/>
                <w:bCs w:val="0"/>
                <w:color w:val="000000" w:themeColor="text1"/>
                <w:sz w:val="24"/>
                <w:szCs w:val="24"/>
                <w:highlight w:val="none"/>
                <w14:textFill>
                  <w14:solidFill>
                    <w14:schemeClr w14:val="tx1"/>
                  </w14:solidFill>
                </w14:textFill>
              </w:rPr>
              <w:t>的K2在开标现场从0、0.5、1等3个系数中随机抽取。</w:t>
            </w:r>
          </w:p>
          <w:p w14:paraId="17D23252">
            <w:pPr>
              <w:pStyle w:val="11"/>
              <w:keepNext w:val="0"/>
              <w:keepLines w:val="0"/>
              <w:pageBreakBefore w:val="0"/>
              <w:widowControl w:val="0"/>
              <w:kinsoku/>
              <w:wordWrap/>
              <w:overflowPunct/>
              <w:topLinePunct w:val="0"/>
              <w:autoSpaceDE/>
              <w:autoSpaceDN/>
              <w:bidi w:val="0"/>
              <w:adjustRightInd/>
              <w:snapToGrid/>
              <w:spacing w:line="440" w:lineRule="atLeast"/>
              <w:ind w:left="0" w:right="0" w:firstLine="496" w:firstLineChars="200"/>
              <w:textAlignment w:val="auto"/>
              <w:rPr>
                <w:rFonts w:hint="eastAsia"/>
                <w:color w:val="000000" w:themeColor="text1"/>
                <w:spacing w:val="-4"/>
                <w:sz w:val="24"/>
                <w:szCs w:val="24"/>
                <w:highlight w:val="none"/>
                <w14:textFill>
                  <w14:solidFill>
                    <w14:schemeClr w14:val="tx1"/>
                  </w14:solidFill>
                </w14:textFill>
              </w:rPr>
            </w:pPr>
            <w:r>
              <w:rPr>
                <w:b w:val="0"/>
                <w:bCs w:val="0"/>
                <w:color w:val="000000" w:themeColor="text1"/>
                <w:spacing w:val="4"/>
                <w:sz w:val="24"/>
                <w:szCs w:val="24"/>
                <w:highlight w:val="none"/>
                <w14:textFill>
                  <w14:solidFill>
                    <w14:schemeClr w14:val="tx1"/>
                  </w14:solidFill>
                </w14:textFill>
              </w:rPr>
              <w:t>3.Z为下浮系数，各标段的Z在开标现场均从0%、</w:t>
            </w:r>
            <w:r>
              <w:rPr>
                <w:b w:val="0"/>
                <w:bCs w:val="0"/>
                <w:color w:val="000000" w:themeColor="text1"/>
                <w:spacing w:val="3"/>
                <w:sz w:val="24"/>
                <w:szCs w:val="24"/>
                <w:highlight w:val="none"/>
                <w14:textFill>
                  <w14:solidFill>
                    <w14:schemeClr w14:val="tx1"/>
                  </w14:solidFill>
                </w14:textFill>
              </w:rPr>
              <w:t>0.1%、0.2%、</w:t>
            </w:r>
            <w:r>
              <w:rPr>
                <w:b w:val="0"/>
                <w:bCs w:val="0"/>
                <w:color w:val="000000" w:themeColor="text1"/>
                <w:sz w:val="24"/>
                <w:szCs w:val="24"/>
                <w:highlight w:val="none"/>
                <w14:textFill>
                  <w14:solidFill>
                    <w14:schemeClr w14:val="tx1"/>
                  </w14:solidFill>
                </w14:textFill>
              </w:rPr>
              <w:t>0.3%、0.4%、0.5%、0.6%、0.7%、0.8%、0.9%、1.0%、</w:t>
            </w:r>
            <w:r>
              <w:rPr>
                <w:b w:val="0"/>
                <w:bCs w:val="0"/>
                <w:color w:val="000000" w:themeColor="text1"/>
                <w:spacing w:val="-1"/>
                <w:sz w:val="24"/>
                <w:szCs w:val="24"/>
                <w:highlight w:val="none"/>
                <w14:textFill>
                  <w14:solidFill>
                    <w14:schemeClr w14:val="tx1"/>
                  </w14:solidFill>
                </w14:textFill>
              </w:rPr>
              <w:t>1.1%、1.2%、</w:t>
            </w:r>
            <w:r>
              <w:rPr>
                <w:b w:val="0"/>
                <w:bCs w:val="0"/>
                <w:color w:val="000000" w:themeColor="text1"/>
                <w:sz w:val="24"/>
                <w:szCs w:val="24"/>
                <w:highlight w:val="none"/>
                <w14:textFill>
                  <w14:solidFill>
                    <w14:schemeClr w14:val="tx1"/>
                  </w14:solidFill>
                </w14:textFill>
              </w:rPr>
              <w:t>1.3%、1.4%、1.5%、1.6%、1.7%、1.8%、1.9%、2%等21个系数</w:t>
            </w:r>
            <w:r>
              <w:rPr>
                <w:b w:val="0"/>
                <w:bCs w:val="0"/>
                <w:color w:val="000000" w:themeColor="text1"/>
                <w:spacing w:val="-1"/>
                <w:sz w:val="24"/>
                <w:szCs w:val="24"/>
                <w:highlight w:val="none"/>
                <w14:textFill>
                  <w14:solidFill>
                    <w14:schemeClr w14:val="tx1"/>
                  </w14:solidFill>
                </w14:textFill>
              </w:rPr>
              <w:t>中随机抽取。</w:t>
            </w:r>
          </w:p>
        </w:tc>
      </w:tr>
      <w:tr w14:paraId="634DA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994" w:type="dxa"/>
            <w:vAlign w:val="center"/>
          </w:tcPr>
          <w:p w14:paraId="69575287">
            <w:pPr>
              <w:pStyle w:val="11"/>
              <w:spacing w:before="71" w:line="239" w:lineRule="auto"/>
              <w:ind w:left="145" w:leftChars="0"/>
              <w:jc w:val="center"/>
              <w:rPr>
                <w:color w:val="000000" w:themeColor="text1"/>
                <w:spacing w:val="-2"/>
                <w:sz w:val="24"/>
                <w:szCs w:val="24"/>
                <w:highlight w:val="none"/>
                <w14:textFill>
                  <w14:solidFill>
                    <w14:schemeClr w14:val="tx1"/>
                  </w14:solidFill>
                </w14:textFill>
              </w:rPr>
            </w:pPr>
            <w:r>
              <w:rPr>
                <w:color w:val="000000" w:themeColor="text1"/>
                <w:spacing w:val="-2"/>
                <w:highlight w:val="none"/>
                <w14:textFill>
                  <w14:solidFill>
                    <w14:schemeClr w14:val="tx1"/>
                  </w14:solidFill>
                </w14:textFill>
              </w:rPr>
              <w:t>2.2.5</w:t>
            </w:r>
          </w:p>
        </w:tc>
        <w:tc>
          <w:tcPr>
            <w:tcW w:w="1698" w:type="dxa"/>
            <w:vAlign w:val="center"/>
          </w:tcPr>
          <w:p w14:paraId="7EE7ABF5">
            <w:pPr>
              <w:pStyle w:val="11"/>
              <w:keepNext w:val="0"/>
              <w:keepLines w:val="0"/>
              <w:pageBreakBefore w:val="0"/>
              <w:widowControl w:val="0"/>
              <w:kinsoku/>
              <w:wordWrap/>
              <w:overflowPunct/>
              <w:topLinePunct w:val="0"/>
              <w:autoSpaceDE/>
              <w:autoSpaceDN/>
              <w:bidi w:val="0"/>
              <w:adjustRightInd/>
              <w:snapToGrid/>
              <w:spacing w:line="440" w:lineRule="exact"/>
              <w:ind w:left="0" w:right="0" w:rightChars="0"/>
              <w:jc w:val="center"/>
              <w:textAlignment w:val="auto"/>
              <w:rPr>
                <w:b/>
                <w:bCs/>
                <w:color w:val="000000" w:themeColor="text1"/>
                <w:spacing w:val="-4"/>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评标价的偏差率计算公式</w:t>
            </w:r>
          </w:p>
        </w:tc>
        <w:tc>
          <w:tcPr>
            <w:tcW w:w="6514" w:type="dxa"/>
            <w:vAlign w:val="top"/>
          </w:tcPr>
          <w:p w14:paraId="3EE29DD6">
            <w:pPr>
              <w:pStyle w:val="11"/>
              <w:keepNext w:val="0"/>
              <w:keepLines w:val="0"/>
              <w:pageBreakBefore w:val="0"/>
              <w:widowControl w:val="0"/>
              <w:kinsoku/>
              <w:wordWrap/>
              <w:overflowPunct/>
              <w:topLinePunct w:val="0"/>
              <w:autoSpaceDE/>
              <w:autoSpaceDN/>
              <w:bidi w:val="0"/>
              <w:adjustRightInd/>
              <w:snapToGrid/>
              <w:spacing w:line="440" w:lineRule="exact"/>
              <w:ind w:left="0" w:right="0"/>
              <w:textAlignment w:val="auto"/>
              <w:rPr>
                <w:color w:val="000000" w:themeColor="text1"/>
                <w:spacing w:val="-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偏差率=100%×(投标人评标价-评标</w:t>
            </w:r>
            <w:r>
              <w:rPr>
                <w:color w:val="000000" w:themeColor="text1"/>
                <w:spacing w:val="-1"/>
                <w:sz w:val="24"/>
                <w:szCs w:val="24"/>
                <w:highlight w:val="none"/>
                <w14:textFill>
                  <w14:solidFill>
                    <w14:schemeClr w14:val="tx1"/>
                  </w14:solidFill>
                </w14:textFill>
              </w:rPr>
              <w:t>基准价)/评标基准价</w:t>
            </w:r>
          </w:p>
          <w:p w14:paraId="35492B43">
            <w:pPr>
              <w:pStyle w:val="11"/>
              <w:keepNext w:val="0"/>
              <w:keepLines w:val="0"/>
              <w:pageBreakBefore w:val="0"/>
              <w:widowControl w:val="0"/>
              <w:kinsoku/>
              <w:wordWrap/>
              <w:overflowPunct/>
              <w:topLinePunct w:val="0"/>
              <w:autoSpaceDE/>
              <w:autoSpaceDN/>
              <w:bidi w:val="0"/>
              <w:adjustRightInd/>
              <w:snapToGrid/>
              <w:spacing w:line="440" w:lineRule="exact"/>
              <w:ind w:left="0" w:right="0"/>
              <w:textAlignment w:val="auto"/>
              <w:rPr>
                <w:b w:val="0"/>
                <w:bCs w:val="0"/>
                <w:color w:val="000000" w:themeColor="text1"/>
                <w:spacing w:val="4"/>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偏差率百分号前保留七位小数(示例：0.123456</w:t>
            </w:r>
            <w:r>
              <w:rPr>
                <w:color w:val="000000" w:themeColor="text1"/>
                <w:spacing w:val="-1"/>
                <w:sz w:val="24"/>
                <w:szCs w:val="24"/>
                <w:highlight w:val="none"/>
                <w14:textFill>
                  <w14:solidFill>
                    <w14:schemeClr w14:val="tx1"/>
                  </w14:solidFill>
                </w14:textFill>
              </w:rPr>
              <w:t>7%),小数点后第八</w:t>
            </w:r>
            <w:r>
              <w:rPr>
                <w:color w:val="000000" w:themeColor="text1"/>
                <w:sz w:val="24"/>
                <w:szCs w:val="24"/>
                <w:highlight w:val="none"/>
                <w14:textFill>
                  <w14:solidFill>
                    <w14:schemeClr w14:val="tx1"/>
                  </w14:solidFill>
                </w14:textFill>
              </w:rPr>
              <w:t>位“四舍五入”。</w:t>
            </w:r>
          </w:p>
        </w:tc>
      </w:tr>
      <w:tr w14:paraId="730C4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994" w:type="dxa"/>
            <w:vAlign w:val="center"/>
          </w:tcPr>
          <w:p w14:paraId="44159543">
            <w:pPr>
              <w:pStyle w:val="11"/>
              <w:spacing w:before="71" w:line="239" w:lineRule="auto"/>
              <w:ind w:left="145" w:leftChars="0"/>
              <w:jc w:val="center"/>
              <w:rPr>
                <w:color w:val="000000" w:themeColor="text1"/>
                <w:spacing w:val="-2"/>
                <w:sz w:val="24"/>
                <w:szCs w:val="24"/>
                <w:highlight w:val="none"/>
                <w14:textFill>
                  <w14:solidFill>
                    <w14:schemeClr w14:val="tx1"/>
                  </w14:solidFill>
                </w14:textFill>
              </w:rPr>
            </w:pPr>
            <w:r>
              <w:rPr>
                <w:color w:val="000000" w:themeColor="text1"/>
                <w:spacing w:val="-3"/>
                <w:highlight w:val="none"/>
                <w14:textFill>
                  <w14:solidFill>
                    <w14:schemeClr w14:val="tx1"/>
                  </w14:solidFill>
                </w14:textFill>
              </w:rPr>
              <w:t>3.2.4</w:t>
            </w:r>
          </w:p>
        </w:tc>
        <w:tc>
          <w:tcPr>
            <w:tcW w:w="1698" w:type="dxa"/>
            <w:vAlign w:val="center"/>
          </w:tcPr>
          <w:p w14:paraId="3B183059">
            <w:pPr>
              <w:pStyle w:val="11"/>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通过第一个信封</w:t>
            </w:r>
          </w:p>
          <w:p w14:paraId="6FD5DE54">
            <w:pPr>
              <w:pStyle w:val="11"/>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详细评审的投标</w:t>
            </w:r>
          </w:p>
          <w:p w14:paraId="11A99DD5">
            <w:pPr>
              <w:pStyle w:val="11"/>
              <w:keepNext w:val="0"/>
              <w:keepLines w:val="0"/>
              <w:pageBreakBefore w:val="0"/>
              <w:widowControl w:val="0"/>
              <w:kinsoku/>
              <w:wordWrap/>
              <w:overflowPunct/>
              <w:topLinePunct w:val="0"/>
              <w:autoSpaceDE/>
              <w:autoSpaceDN/>
              <w:bidi w:val="0"/>
              <w:adjustRightInd/>
              <w:snapToGrid/>
              <w:spacing w:line="440" w:lineRule="exact"/>
              <w:ind w:left="0" w:leftChars="0" w:right="0"/>
              <w:jc w:val="center"/>
              <w:textAlignment w:val="auto"/>
              <w:rPr>
                <w:b/>
                <w:bCs/>
                <w:color w:val="000000" w:themeColor="text1"/>
                <w:spacing w:val="-4"/>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人数量</w:t>
            </w:r>
          </w:p>
        </w:tc>
        <w:tc>
          <w:tcPr>
            <w:tcW w:w="6514" w:type="dxa"/>
            <w:vAlign w:val="top"/>
          </w:tcPr>
          <w:p w14:paraId="4A770B2E">
            <w:pPr>
              <w:pStyle w:val="11"/>
              <w:keepNext w:val="0"/>
              <w:keepLines w:val="0"/>
              <w:pageBreakBefore w:val="0"/>
              <w:widowControl w:val="0"/>
              <w:kinsoku/>
              <w:wordWrap/>
              <w:overflowPunct/>
              <w:topLinePunct w:val="0"/>
              <w:autoSpaceDE/>
              <w:autoSpaceDN/>
              <w:bidi w:val="0"/>
              <w:adjustRightInd/>
              <w:snapToGrid/>
              <w:spacing w:line="440" w:lineRule="exact"/>
              <w:ind w:left="0" w:right="0" w:firstLine="409"/>
              <w:textAlignment w:val="auto"/>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通过投标文件第一个信封初步评审的投标人数量≤3</w:t>
            </w:r>
            <w:r>
              <w:rPr>
                <w:color w:val="000000" w:themeColor="text1"/>
                <w:spacing w:val="-4"/>
                <w:sz w:val="24"/>
                <w:szCs w:val="24"/>
                <w:highlight w:val="none"/>
                <w14:textFill>
                  <w14:solidFill>
                    <w14:schemeClr w14:val="tx1"/>
                  </w14:solidFill>
                </w14:textFill>
              </w:rPr>
              <w:t>时，其投标人</w:t>
            </w:r>
            <w:r>
              <w:rPr>
                <w:color w:val="000000" w:themeColor="text1"/>
                <w:spacing w:val="9"/>
                <w:sz w:val="24"/>
                <w:szCs w:val="24"/>
                <w:highlight w:val="none"/>
                <w14:textFill>
                  <w14:solidFill>
                    <w14:schemeClr w14:val="tx1"/>
                  </w14:solidFill>
                </w14:textFill>
              </w:rPr>
              <w:t>的报价文件均参与评审；</w:t>
            </w:r>
          </w:p>
          <w:p w14:paraId="51645ACC">
            <w:pPr>
              <w:pStyle w:val="11"/>
              <w:keepNext w:val="0"/>
              <w:keepLines w:val="0"/>
              <w:pageBreakBefore w:val="0"/>
              <w:widowControl w:val="0"/>
              <w:kinsoku/>
              <w:wordWrap/>
              <w:overflowPunct/>
              <w:topLinePunct w:val="0"/>
              <w:autoSpaceDE/>
              <w:autoSpaceDN/>
              <w:bidi w:val="0"/>
              <w:adjustRightInd/>
              <w:snapToGrid/>
              <w:spacing w:line="440" w:lineRule="exact"/>
              <w:ind w:left="0" w:right="0" w:firstLine="400"/>
              <w:jc w:val="both"/>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通过投标文件第一个信封初步评审的投标人</w:t>
            </w:r>
            <w:r>
              <w:rPr>
                <w:color w:val="000000" w:themeColor="text1"/>
                <w:spacing w:val="-1"/>
                <w:sz w:val="24"/>
                <w:szCs w:val="24"/>
                <w:highlight w:val="none"/>
                <w14:textFill>
                  <w14:solidFill>
                    <w14:schemeClr w14:val="tx1"/>
                  </w14:solidFill>
                </w14:textFill>
              </w:rPr>
              <w:t>数量&gt;3时，按照投标</w:t>
            </w:r>
            <w:r>
              <w:rPr>
                <w:color w:val="000000" w:themeColor="text1"/>
                <w:spacing w:val="1"/>
                <w:sz w:val="24"/>
                <w:szCs w:val="24"/>
                <w:highlight w:val="none"/>
                <w14:textFill>
                  <w14:solidFill>
                    <w14:schemeClr w14:val="tx1"/>
                  </w14:solidFill>
                </w14:textFill>
              </w:rPr>
              <w:t>人商务和技术评分由高到低排序，对排名在n以</w:t>
            </w:r>
            <w:r>
              <w:rPr>
                <w:color w:val="000000" w:themeColor="text1"/>
                <w:sz w:val="24"/>
                <w:szCs w:val="24"/>
                <w:highlight w:val="none"/>
                <w14:textFill>
                  <w14:solidFill>
                    <w14:schemeClr w14:val="tx1"/>
                  </w14:solidFill>
                </w14:textFill>
              </w:rPr>
              <w:t>内的投标人的报价文件进行评审，n值按参与商务和技术评分投标人数量的30%(数值向下取整)确定，n的取值范围为3≤n≤10。</w:t>
            </w:r>
          </w:p>
          <w:p w14:paraId="6F9E78B0">
            <w:pPr>
              <w:pStyle w:val="11"/>
              <w:keepNext w:val="0"/>
              <w:keepLines w:val="0"/>
              <w:pageBreakBefore w:val="0"/>
              <w:widowControl w:val="0"/>
              <w:kinsoku/>
              <w:wordWrap/>
              <w:overflowPunct/>
              <w:topLinePunct w:val="0"/>
              <w:autoSpaceDE/>
              <w:autoSpaceDN/>
              <w:bidi w:val="0"/>
              <w:adjustRightInd/>
              <w:snapToGrid/>
              <w:spacing w:line="440" w:lineRule="exact"/>
              <w:ind w:left="0" w:right="0" w:firstLine="470" w:firstLineChars="200"/>
              <w:textAlignment w:val="auto"/>
              <w:rPr>
                <w:b w:val="0"/>
                <w:bCs w:val="0"/>
                <w:color w:val="000000" w:themeColor="text1"/>
                <w:spacing w:val="4"/>
                <w:sz w:val="24"/>
                <w:szCs w:val="24"/>
                <w:highlight w:val="none"/>
                <w14:textFill>
                  <w14:solidFill>
                    <w14:schemeClr w14:val="tx1"/>
                  </w14:solidFill>
                </w14:textFill>
              </w:rPr>
            </w:pPr>
            <w:r>
              <w:rPr>
                <w:b/>
                <w:bCs/>
                <w:color w:val="000000" w:themeColor="text1"/>
                <w:spacing w:val="-3"/>
                <w:sz w:val="24"/>
                <w:szCs w:val="24"/>
                <w:highlight w:val="none"/>
                <w14:textFill>
                  <w14:solidFill>
                    <w14:schemeClr w14:val="tx1"/>
                  </w14:solidFill>
                </w14:textFill>
              </w:rPr>
              <w:t>注：(1)排名并列为n的投标人的报价文件均通过第一个信封详</w:t>
            </w:r>
            <w:r>
              <w:rPr>
                <w:b/>
                <w:bCs/>
                <w:color w:val="000000" w:themeColor="text1"/>
                <w:spacing w:val="1"/>
                <w:sz w:val="24"/>
                <w:szCs w:val="24"/>
                <w:highlight w:val="none"/>
                <w14:textFill>
                  <w14:solidFill>
                    <w14:schemeClr w14:val="tx1"/>
                  </w14:solidFill>
                </w14:textFill>
              </w:rPr>
              <w:t>细评审；(2)示例：如得分从高到低排列</w:t>
            </w:r>
            <w:r>
              <w:rPr>
                <w:b/>
                <w:bCs/>
                <w:color w:val="000000" w:themeColor="text1"/>
                <w:sz w:val="24"/>
                <w:szCs w:val="24"/>
                <w:highlight w:val="none"/>
                <w14:textFill>
                  <w14:solidFill>
                    <w14:schemeClr w14:val="tx1"/>
                  </w14:solidFill>
                </w14:textFill>
              </w:rPr>
              <w:t>为“99、88、88、88、77、</w:t>
            </w:r>
            <w:r>
              <w:rPr>
                <w:b/>
                <w:bCs/>
                <w:color w:val="000000" w:themeColor="text1"/>
                <w:spacing w:val="-2"/>
                <w:sz w:val="24"/>
                <w:szCs w:val="24"/>
                <w:highlight w:val="none"/>
                <w14:textFill>
                  <w14:solidFill>
                    <w14:schemeClr w14:val="tx1"/>
                  </w14:solidFill>
                </w14:textFill>
              </w:rPr>
              <w:t>77、6</w:t>
            </w:r>
            <w:r>
              <w:rPr>
                <w:rFonts w:hint="eastAsia"/>
                <w:b/>
                <w:bCs/>
                <w:color w:val="000000" w:themeColor="text1"/>
                <w:spacing w:val="-2"/>
                <w:sz w:val="24"/>
                <w:szCs w:val="24"/>
                <w:highlight w:val="none"/>
                <w:lang w:val="en-US" w:eastAsia="zh-CN"/>
                <w14:textFill>
                  <w14:solidFill>
                    <w14:schemeClr w14:val="tx1"/>
                  </w14:solidFill>
                </w14:textFill>
              </w:rPr>
              <w:t>6</w:t>
            </w:r>
            <w:r>
              <w:rPr>
                <w:b/>
                <w:bCs/>
                <w:color w:val="000000" w:themeColor="text1"/>
                <w:spacing w:val="-2"/>
                <w:sz w:val="24"/>
                <w:szCs w:val="24"/>
                <w:highlight w:val="none"/>
                <w14:textFill>
                  <w14:solidFill>
                    <w14:schemeClr w14:val="tx1"/>
                  </w14:solidFill>
                </w14:textFill>
              </w:rPr>
              <w:t>……”,则：当n=3时，得分“99、88、88、88”的投标</w:t>
            </w:r>
            <w:r>
              <w:rPr>
                <w:b/>
                <w:bCs/>
                <w:color w:val="000000" w:themeColor="text1"/>
                <w:spacing w:val="-3"/>
                <w:sz w:val="24"/>
                <w:szCs w:val="24"/>
                <w:highlight w:val="none"/>
                <w14:textFill>
                  <w14:solidFill>
                    <w14:schemeClr w14:val="tx1"/>
                  </w14:solidFill>
                </w14:textFill>
              </w:rPr>
              <w:t>人的</w:t>
            </w:r>
            <w:r>
              <w:rPr>
                <w:b/>
                <w:bCs/>
                <w:color w:val="000000" w:themeColor="text1"/>
                <w:spacing w:val="1"/>
                <w:sz w:val="24"/>
                <w:szCs w:val="24"/>
                <w:highlight w:val="none"/>
                <w14:textFill>
                  <w14:solidFill>
                    <w14:schemeClr w14:val="tx1"/>
                  </w14:solidFill>
                </w14:textFill>
              </w:rPr>
              <w:t>报价文件通过第一个信封详细评审；当n=4时，得</w:t>
            </w:r>
            <w:r>
              <w:rPr>
                <w:b/>
                <w:bCs/>
                <w:color w:val="000000" w:themeColor="text1"/>
                <w:sz w:val="24"/>
                <w:szCs w:val="24"/>
                <w:highlight w:val="none"/>
                <w14:textFill>
                  <w14:solidFill>
                    <w14:schemeClr w14:val="tx1"/>
                  </w14:solidFill>
                </w14:textFill>
              </w:rPr>
              <w:t>分“99、88、88、</w:t>
            </w:r>
            <w:r>
              <w:rPr>
                <w:color w:val="000000" w:themeColor="text1"/>
                <w:sz w:val="24"/>
                <w:szCs w:val="24"/>
                <w:highlight w:val="none"/>
                <w14:textFill>
                  <w14:solidFill>
                    <w14:schemeClr w14:val="tx1"/>
                  </w14:solidFill>
                </w14:textFill>
              </w:rPr>
              <w:t xml:space="preserve"> </w:t>
            </w:r>
            <w:r>
              <w:rPr>
                <w:b/>
                <w:bCs/>
                <w:color w:val="000000" w:themeColor="text1"/>
                <w:spacing w:val="-2"/>
                <w:sz w:val="24"/>
                <w:szCs w:val="24"/>
                <w:highlight w:val="none"/>
                <w14:textFill>
                  <w14:solidFill>
                    <w14:schemeClr w14:val="tx1"/>
                  </w14:solidFill>
                </w14:textFill>
              </w:rPr>
              <w:t>88”的投标人的报价文件通过第一个信封详细评审；当n=5时，得分</w:t>
            </w:r>
            <w:r>
              <w:rPr>
                <w:b/>
                <w:bCs/>
                <w:color w:val="000000" w:themeColor="text1"/>
                <w:spacing w:val="-1"/>
                <w:sz w:val="24"/>
                <w:szCs w:val="24"/>
                <w:highlight w:val="none"/>
                <w14:textFill>
                  <w14:solidFill>
                    <w14:schemeClr w14:val="tx1"/>
                  </w14:solidFill>
                </w14:textFill>
              </w:rPr>
              <w:t>“99、88、88、88、77、77”的投标人的报价文件通过第一</w:t>
            </w:r>
            <w:r>
              <w:rPr>
                <w:b/>
                <w:bCs/>
                <w:color w:val="000000" w:themeColor="text1"/>
                <w:spacing w:val="-2"/>
                <w:sz w:val="24"/>
                <w:szCs w:val="24"/>
                <w:highlight w:val="none"/>
                <w14:textFill>
                  <w14:solidFill>
                    <w14:schemeClr w14:val="tx1"/>
                  </w14:solidFill>
                </w14:textFill>
              </w:rPr>
              <w:t>个信封详细评审；当n=6时，得分“99、88、88、88、77、77”的投标人的报</w:t>
            </w:r>
            <w:r>
              <w:rPr>
                <w:b/>
                <w:bCs/>
                <w:color w:val="000000" w:themeColor="text1"/>
                <w:sz w:val="24"/>
                <w:szCs w:val="24"/>
                <w:highlight w:val="none"/>
                <w14:textFill>
                  <w14:solidFill>
                    <w14:schemeClr w14:val="tx1"/>
                  </w14:solidFill>
                </w14:textFill>
              </w:rPr>
              <w:t>价文件通过第一个信封详细评审。</w:t>
            </w:r>
          </w:p>
        </w:tc>
      </w:tr>
    </w:tbl>
    <w:p w14:paraId="68048092">
      <w:pPr>
        <w:rPr>
          <w:rFonts w:hint="default" w:ascii="Times New Roman" w:hAnsi="Times New Roman" w:eastAsia="黑体" w:cs="Times New Roman"/>
          <w:b w:val="0"/>
          <w:color w:val="000000" w:themeColor="text1"/>
          <w:sz w:val="28"/>
          <w:szCs w:val="28"/>
          <w:highlight w:val="none"/>
          <w14:textFill>
            <w14:solidFill>
              <w14:schemeClr w14:val="tx1"/>
            </w14:solidFill>
          </w14:textFill>
        </w:rPr>
      </w:pPr>
    </w:p>
    <w:p w14:paraId="3EAEC4E8">
      <w:pPr>
        <w:rPr>
          <w:rFonts w:hint="default" w:ascii="Times New Roman" w:hAnsi="Times New Roman" w:eastAsia="黑体" w:cs="Times New Roman"/>
          <w:b w:val="0"/>
          <w:color w:val="000000" w:themeColor="text1"/>
          <w:sz w:val="28"/>
          <w:szCs w:val="28"/>
          <w:highlight w:val="none"/>
          <w14:textFill>
            <w14:solidFill>
              <w14:schemeClr w14:val="tx1"/>
            </w14:solidFill>
          </w14:textFill>
        </w:rPr>
      </w:pPr>
    </w:p>
    <w:p w14:paraId="7C93BC2A">
      <w:pPr>
        <w:rPr>
          <w:rFonts w:hint="default" w:ascii="Times New Roman" w:hAnsi="Times New Roman" w:eastAsia="黑体" w:cs="Times New Roman"/>
          <w:b w:val="0"/>
          <w:color w:val="000000" w:themeColor="text1"/>
          <w:sz w:val="28"/>
          <w:szCs w:val="28"/>
          <w:highlight w:val="none"/>
          <w14:textFill>
            <w14:solidFill>
              <w14:schemeClr w14:val="tx1"/>
            </w14:solidFill>
          </w14:textFill>
        </w:rPr>
      </w:pPr>
    </w:p>
    <w:p w14:paraId="3B1DBD79">
      <w:pPr>
        <w:rPr>
          <w:rFonts w:hint="default" w:ascii="Times New Roman" w:hAnsi="Times New Roman" w:eastAsia="黑体" w:cs="Times New Roman"/>
          <w:b w:val="0"/>
          <w:color w:val="000000" w:themeColor="text1"/>
          <w:sz w:val="28"/>
          <w:szCs w:val="28"/>
          <w:highlight w:val="none"/>
          <w14:textFill>
            <w14:solidFill>
              <w14:schemeClr w14:val="tx1"/>
            </w14:solidFill>
          </w14:textFill>
        </w:rPr>
      </w:pPr>
    </w:p>
    <w:p w14:paraId="405DBC17">
      <w:pPr>
        <w:rPr>
          <w:rFonts w:hint="default" w:ascii="Times New Roman" w:hAnsi="Times New Roman" w:eastAsia="黑体" w:cs="Times New Roman"/>
          <w:b w:val="0"/>
          <w:color w:val="000000" w:themeColor="text1"/>
          <w:sz w:val="28"/>
          <w:szCs w:val="28"/>
          <w:highlight w:val="none"/>
          <w14:textFill>
            <w14:solidFill>
              <w14:schemeClr w14:val="tx1"/>
            </w14:solidFill>
          </w14:textFill>
        </w:rPr>
      </w:pPr>
    </w:p>
    <w:p w14:paraId="7A9CC45E">
      <w:pPr>
        <w:rPr>
          <w:rFonts w:hint="default" w:ascii="Times New Roman" w:hAnsi="Times New Roman" w:eastAsia="黑体" w:cs="Times New Roman"/>
          <w:b w:val="0"/>
          <w:color w:val="000000" w:themeColor="text1"/>
          <w:sz w:val="28"/>
          <w:szCs w:val="28"/>
          <w:highlight w:val="none"/>
          <w14:textFill>
            <w14:solidFill>
              <w14:schemeClr w14:val="tx1"/>
            </w14:solidFill>
          </w14:textFill>
        </w:rPr>
      </w:pPr>
    </w:p>
    <w:p w14:paraId="5814B35C">
      <w:pPr>
        <w:rPr>
          <w:rFonts w:hint="default" w:ascii="Times New Roman" w:hAnsi="Times New Roman" w:eastAsia="黑体" w:cs="Times New Roman"/>
          <w:b w:val="0"/>
          <w:color w:val="000000" w:themeColor="text1"/>
          <w:sz w:val="28"/>
          <w:szCs w:val="28"/>
          <w:highlight w:val="none"/>
          <w14:textFill>
            <w14:solidFill>
              <w14:schemeClr w14:val="tx1"/>
            </w14:solidFill>
          </w14:textFill>
        </w:rPr>
      </w:pPr>
    </w:p>
    <w:tbl>
      <w:tblPr>
        <w:tblStyle w:val="12"/>
        <w:tblW w:w="92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8"/>
        <w:gridCol w:w="808"/>
        <w:gridCol w:w="900"/>
        <w:gridCol w:w="889"/>
        <w:gridCol w:w="473"/>
        <w:gridCol w:w="5542"/>
      </w:tblGrid>
      <w:tr w14:paraId="5AF2C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3748" w:type="dxa"/>
            <w:gridSpan w:val="5"/>
            <w:vAlign w:val="center"/>
          </w:tcPr>
          <w:p w14:paraId="30DA81E4">
            <w:pPr>
              <w:pStyle w:val="11"/>
              <w:spacing w:before="150" w:line="212" w:lineRule="auto"/>
              <w:jc w:val="center"/>
              <w:rPr>
                <w:b w:val="0"/>
                <w:bCs w:val="0"/>
                <w:color w:val="000000" w:themeColor="text1"/>
                <w:sz w:val="24"/>
                <w:szCs w:val="24"/>
                <w:highlight w:val="none"/>
                <w14:textFill>
                  <w14:solidFill>
                    <w14:schemeClr w14:val="tx1"/>
                  </w14:solidFill>
                </w14:textFill>
              </w:rPr>
            </w:pPr>
            <w:r>
              <w:rPr>
                <w:b w:val="0"/>
                <w:bCs w:val="0"/>
                <w:color w:val="000000" w:themeColor="text1"/>
                <w:spacing w:val="-3"/>
                <w:sz w:val="24"/>
                <w:szCs w:val="24"/>
                <w:highlight w:val="none"/>
                <w14:textFill>
                  <w14:solidFill>
                    <w14:schemeClr w14:val="tx1"/>
                  </w14:solidFill>
                </w14:textFill>
              </w:rPr>
              <w:t>评分因素与权重分值</w:t>
            </w:r>
          </w:p>
        </w:tc>
        <w:tc>
          <w:tcPr>
            <w:tcW w:w="5542" w:type="dxa"/>
            <w:vMerge w:val="restart"/>
            <w:tcBorders>
              <w:bottom w:val="nil"/>
            </w:tcBorders>
            <w:vAlign w:val="center"/>
          </w:tcPr>
          <w:p w14:paraId="45E0A9CC">
            <w:pPr>
              <w:pStyle w:val="11"/>
              <w:spacing w:before="68" w:line="220" w:lineRule="auto"/>
              <w:jc w:val="center"/>
              <w:rPr>
                <w:b w:val="0"/>
                <w:bCs w:val="0"/>
                <w:color w:val="000000" w:themeColor="text1"/>
                <w:sz w:val="24"/>
                <w:szCs w:val="24"/>
                <w:highlight w:val="none"/>
                <w14:textFill>
                  <w14:solidFill>
                    <w14:schemeClr w14:val="tx1"/>
                  </w14:solidFill>
                </w14:textFill>
              </w:rPr>
            </w:pPr>
            <w:r>
              <w:rPr>
                <w:b w:val="0"/>
                <w:bCs w:val="0"/>
                <w:color w:val="000000" w:themeColor="text1"/>
                <w:spacing w:val="-4"/>
                <w:sz w:val="24"/>
                <w:szCs w:val="24"/>
                <w:highlight w:val="none"/>
                <w14:textFill>
                  <w14:solidFill>
                    <w14:schemeClr w14:val="tx1"/>
                  </w14:solidFill>
                </w14:textFill>
              </w:rPr>
              <w:t>评分标准</w:t>
            </w:r>
          </w:p>
        </w:tc>
      </w:tr>
      <w:tr w14:paraId="53905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678" w:type="dxa"/>
            <w:vAlign w:val="center"/>
          </w:tcPr>
          <w:p w14:paraId="642681E5">
            <w:pPr>
              <w:pStyle w:val="11"/>
              <w:spacing w:before="268" w:line="219" w:lineRule="auto"/>
              <w:ind w:left="158"/>
              <w:jc w:val="center"/>
              <w:rPr>
                <w:b w:val="0"/>
                <w:bCs w:val="0"/>
                <w:color w:val="000000" w:themeColor="text1"/>
                <w:sz w:val="24"/>
                <w:szCs w:val="24"/>
                <w:highlight w:val="none"/>
                <w14:textFill>
                  <w14:solidFill>
                    <w14:schemeClr w14:val="tx1"/>
                  </w14:solidFill>
                </w14:textFill>
              </w:rPr>
            </w:pPr>
            <w:r>
              <w:rPr>
                <w:b w:val="0"/>
                <w:bCs w:val="0"/>
                <w:color w:val="000000" w:themeColor="text1"/>
                <w:spacing w:val="-5"/>
                <w:sz w:val="24"/>
                <w:szCs w:val="24"/>
                <w:highlight w:val="none"/>
                <w14:textFill>
                  <w14:solidFill>
                    <w14:schemeClr w14:val="tx1"/>
                  </w14:solidFill>
                </w14:textFill>
              </w:rPr>
              <w:t>条款号</w:t>
            </w:r>
          </w:p>
        </w:tc>
        <w:tc>
          <w:tcPr>
            <w:tcW w:w="808" w:type="dxa"/>
            <w:vAlign w:val="center"/>
          </w:tcPr>
          <w:p w14:paraId="36071BA9">
            <w:pPr>
              <w:pStyle w:val="11"/>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b w:val="0"/>
                <w:bCs w:val="0"/>
                <w:color w:val="000000" w:themeColor="text1"/>
                <w:spacing w:val="-4"/>
                <w:sz w:val="24"/>
                <w:szCs w:val="24"/>
                <w:highlight w:val="none"/>
                <w14:textFill>
                  <w14:solidFill>
                    <w14:schemeClr w14:val="tx1"/>
                  </w14:solidFill>
                </w14:textFill>
              </w:rPr>
            </w:pPr>
            <w:r>
              <w:rPr>
                <w:b w:val="0"/>
                <w:bCs w:val="0"/>
                <w:color w:val="000000" w:themeColor="text1"/>
                <w:spacing w:val="-4"/>
                <w:sz w:val="24"/>
                <w:szCs w:val="24"/>
                <w:highlight w:val="none"/>
                <w14:textFill>
                  <w14:solidFill>
                    <w14:schemeClr w14:val="tx1"/>
                  </w14:solidFill>
                </w14:textFill>
              </w:rPr>
              <w:t>评分</w:t>
            </w:r>
          </w:p>
          <w:p w14:paraId="74AA0E9E">
            <w:pPr>
              <w:pStyle w:val="11"/>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b w:val="0"/>
                <w:bCs w:val="0"/>
                <w:color w:val="000000" w:themeColor="text1"/>
                <w:sz w:val="24"/>
                <w:szCs w:val="24"/>
                <w:highlight w:val="none"/>
                <w14:textFill>
                  <w14:solidFill>
                    <w14:schemeClr w14:val="tx1"/>
                  </w14:solidFill>
                </w14:textFill>
              </w:rPr>
            </w:pPr>
            <w:r>
              <w:rPr>
                <w:b w:val="0"/>
                <w:bCs w:val="0"/>
                <w:color w:val="000000" w:themeColor="text1"/>
                <w:spacing w:val="-4"/>
                <w:sz w:val="24"/>
                <w:szCs w:val="24"/>
                <w:highlight w:val="none"/>
                <w14:textFill>
                  <w14:solidFill>
                    <w14:schemeClr w14:val="tx1"/>
                  </w14:solidFill>
                </w14:textFill>
              </w:rPr>
              <w:t>因素</w:t>
            </w:r>
          </w:p>
        </w:tc>
        <w:tc>
          <w:tcPr>
            <w:tcW w:w="900" w:type="dxa"/>
            <w:vAlign w:val="center"/>
          </w:tcPr>
          <w:p w14:paraId="66446AF5">
            <w:pPr>
              <w:pStyle w:val="11"/>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b w:val="0"/>
                <w:bCs w:val="0"/>
                <w:color w:val="000000" w:themeColor="text1"/>
                <w:sz w:val="24"/>
                <w:szCs w:val="24"/>
                <w:highlight w:val="none"/>
                <w14:textFill>
                  <w14:solidFill>
                    <w14:schemeClr w14:val="tx1"/>
                  </w14:solidFill>
                </w14:textFill>
              </w:rPr>
            </w:pPr>
            <w:r>
              <w:rPr>
                <w:b w:val="0"/>
                <w:bCs w:val="0"/>
                <w:color w:val="000000" w:themeColor="text1"/>
                <w:spacing w:val="-4"/>
                <w:sz w:val="24"/>
                <w:szCs w:val="24"/>
                <w:highlight w:val="none"/>
                <w14:textFill>
                  <w14:solidFill>
                    <w14:schemeClr w14:val="tx1"/>
                  </w14:solidFill>
                </w14:textFill>
              </w:rPr>
              <w:t>评分因素权重分值</w:t>
            </w:r>
          </w:p>
        </w:tc>
        <w:tc>
          <w:tcPr>
            <w:tcW w:w="889" w:type="dxa"/>
            <w:vAlign w:val="center"/>
          </w:tcPr>
          <w:p w14:paraId="0BEEEDA1">
            <w:pPr>
              <w:pStyle w:val="11"/>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b w:val="0"/>
                <w:bCs w:val="0"/>
                <w:color w:val="000000" w:themeColor="text1"/>
                <w:sz w:val="24"/>
                <w:szCs w:val="24"/>
                <w:highlight w:val="none"/>
                <w14:textFill>
                  <w14:solidFill>
                    <w14:schemeClr w14:val="tx1"/>
                  </w14:solidFill>
                </w14:textFill>
              </w:rPr>
            </w:pPr>
            <w:r>
              <w:rPr>
                <w:b w:val="0"/>
                <w:bCs w:val="0"/>
                <w:color w:val="000000" w:themeColor="text1"/>
                <w:spacing w:val="1"/>
                <w:sz w:val="24"/>
                <w:szCs w:val="24"/>
                <w:highlight w:val="none"/>
                <w14:textFill>
                  <w14:solidFill>
                    <w14:schemeClr w14:val="tx1"/>
                  </w14:solidFill>
                </w14:textFill>
              </w:rPr>
              <w:t>各评分因</w:t>
            </w:r>
            <w:r>
              <w:rPr>
                <w:b w:val="0"/>
                <w:bCs w:val="0"/>
                <w:color w:val="000000" w:themeColor="text1"/>
                <w:spacing w:val="-5"/>
                <w:sz w:val="24"/>
                <w:szCs w:val="24"/>
                <w:highlight w:val="none"/>
                <w14:textFill>
                  <w14:solidFill>
                    <w14:schemeClr w14:val="tx1"/>
                  </w14:solidFill>
                </w14:textFill>
              </w:rPr>
              <w:t>素细分项</w:t>
            </w:r>
          </w:p>
        </w:tc>
        <w:tc>
          <w:tcPr>
            <w:tcW w:w="473" w:type="dxa"/>
            <w:textDirection w:val="tbRlV"/>
            <w:vAlign w:val="center"/>
          </w:tcPr>
          <w:p w14:paraId="4BD6ED6F">
            <w:pPr>
              <w:pStyle w:val="11"/>
              <w:spacing w:before="182" w:line="201" w:lineRule="auto"/>
              <w:ind w:left="27"/>
              <w:jc w:val="center"/>
              <w:rPr>
                <w:b w:val="0"/>
                <w:bCs w:val="0"/>
                <w:color w:val="000000" w:themeColor="text1"/>
                <w:sz w:val="24"/>
                <w:szCs w:val="24"/>
                <w:highlight w:val="none"/>
                <w14:textFill>
                  <w14:solidFill>
                    <w14:schemeClr w14:val="tx1"/>
                  </w14:solidFill>
                </w14:textFill>
              </w:rPr>
            </w:pPr>
            <w:r>
              <w:rPr>
                <w:b w:val="0"/>
                <w:bCs w:val="0"/>
                <w:color w:val="000000" w:themeColor="text1"/>
                <w:spacing w:val="-3"/>
                <w:sz w:val="24"/>
                <w:szCs w:val="24"/>
                <w:highlight w:val="none"/>
                <w14:textFill>
                  <w14:solidFill>
                    <w14:schemeClr w14:val="tx1"/>
                  </w14:solidFill>
                </w14:textFill>
              </w:rPr>
              <w:t>分</w:t>
            </w:r>
            <w:r>
              <w:rPr>
                <w:b w:val="0"/>
                <w:bCs w:val="0"/>
                <w:color w:val="000000" w:themeColor="text1"/>
                <w:spacing w:val="13"/>
                <w:sz w:val="24"/>
                <w:szCs w:val="24"/>
                <w:highlight w:val="none"/>
                <w14:textFill>
                  <w14:solidFill>
                    <w14:schemeClr w14:val="tx1"/>
                  </w14:solidFill>
                </w14:textFill>
              </w:rPr>
              <w:t xml:space="preserve"> </w:t>
            </w:r>
            <w:r>
              <w:rPr>
                <w:b w:val="0"/>
                <w:bCs w:val="0"/>
                <w:color w:val="000000" w:themeColor="text1"/>
                <w:spacing w:val="-3"/>
                <w:sz w:val="24"/>
                <w:szCs w:val="24"/>
                <w:highlight w:val="none"/>
                <w14:textFill>
                  <w14:solidFill>
                    <w14:schemeClr w14:val="tx1"/>
                  </w14:solidFill>
                </w14:textFill>
              </w:rPr>
              <w:t>值</w:t>
            </w:r>
          </w:p>
        </w:tc>
        <w:tc>
          <w:tcPr>
            <w:tcW w:w="5542" w:type="dxa"/>
            <w:vMerge w:val="continue"/>
            <w:tcBorders>
              <w:top w:val="nil"/>
            </w:tcBorders>
            <w:vAlign w:val="center"/>
          </w:tcPr>
          <w:p w14:paraId="09DC8D03">
            <w:pPr>
              <w:jc w:val="center"/>
              <w:rPr>
                <w:rFonts w:ascii="Arial"/>
                <w:b w:val="0"/>
                <w:bCs w:val="0"/>
                <w:color w:val="000000" w:themeColor="text1"/>
                <w:sz w:val="24"/>
                <w:szCs w:val="24"/>
                <w:highlight w:val="none"/>
                <w14:textFill>
                  <w14:solidFill>
                    <w14:schemeClr w14:val="tx1"/>
                  </w14:solidFill>
                </w14:textFill>
              </w:rPr>
            </w:pPr>
          </w:p>
        </w:tc>
      </w:tr>
      <w:tr w14:paraId="36340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7" w:hRule="atLeast"/>
        </w:trPr>
        <w:tc>
          <w:tcPr>
            <w:tcW w:w="678" w:type="dxa"/>
            <w:vMerge w:val="restart"/>
            <w:vAlign w:val="center"/>
          </w:tcPr>
          <w:p w14:paraId="5264C4AC">
            <w:pPr>
              <w:pStyle w:val="11"/>
              <w:spacing w:before="140" w:line="196" w:lineRule="auto"/>
              <w:ind w:left="45"/>
              <w:jc w:val="center"/>
              <w:rPr>
                <w:b w:val="0"/>
                <w:bCs w:val="0"/>
                <w:color w:val="000000" w:themeColor="text1"/>
                <w:spacing w:val="-2"/>
                <w:sz w:val="24"/>
                <w:szCs w:val="24"/>
                <w:highlight w:val="none"/>
                <w14:textFill>
                  <w14:solidFill>
                    <w14:schemeClr w14:val="tx1"/>
                  </w14:solidFill>
                </w14:textFill>
              </w:rPr>
            </w:pPr>
            <w:r>
              <w:rPr>
                <w:b w:val="0"/>
                <w:bCs w:val="0"/>
                <w:color w:val="000000" w:themeColor="text1"/>
                <w:spacing w:val="-2"/>
                <w:sz w:val="24"/>
                <w:szCs w:val="24"/>
                <w:highlight w:val="none"/>
                <w14:textFill>
                  <w14:solidFill>
                    <w14:schemeClr w14:val="tx1"/>
                  </w14:solidFill>
                </w14:textFill>
              </w:rPr>
              <w:t>2.2.2</w:t>
            </w:r>
          </w:p>
          <w:p w14:paraId="097C4E33">
            <w:pPr>
              <w:pStyle w:val="11"/>
              <w:spacing w:before="140" w:line="196" w:lineRule="auto"/>
              <w:ind w:left="45"/>
              <w:jc w:val="center"/>
              <w:rPr>
                <w:b w:val="0"/>
                <w:bCs w:val="0"/>
                <w:color w:val="000000" w:themeColor="text1"/>
                <w:sz w:val="24"/>
                <w:szCs w:val="24"/>
                <w:highlight w:val="none"/>
                <w14:textFill>
                  <w14:solidFill>
                    <w14:schemeClr w14:val="tx1"/>
                  </w14:solidFill>
                </w14:textFill>
              </w:rPr>
            </w:pPr>
            <w:r>
              <w:rPr>
                <w:b w:val="0"/>
                <w:bCs w:val="0"/>
                <w:color w:val="000000" w:themeColor="text1"/>
                <w:spacing w:val="-2"/>
                <w:sz w:val="24"/>
                <w:szCs w:val="24"/>
                <w:highlight w:val="none"/>
                <w14:textFill>
                  <w14:solidFill>
                    <w14:schemeClr w14:val="tx1"/>
                  </w14:solidFill>
                </w14:textFill>
              </w:rPr>
              <w:t>(1)</w:t>
            </w:r>
          </w:p>
        </w:tc>
        <w:tc>
          <w:tcPr>
            <w:tcW w:w="808" w:type="dxa"/>
            <w:vMerge w:val="restart"/>
            <w:vAlign w:val="center"/>
          </w:tcPr>
          <w:p w14:paraId="09251B2D">
            <w:pPr>
              <w:pStyle w:val="11"/>
              <w:spacing w:before="136" w:line="199" w:lineRule="auto"/>
              <w:ind w:left="114"/>
              <w:jc w:val="center"/>
              <w:rPr>
                <w:b w:val="0"/>
                <w:bCs w:val="0"/>
                <w:color w:val="000000" w:themeColor="text1"/>
                <w:sz w:val="24"/>
                <w:szCs w:val="24"/>
                <w:highlight w:val="none"/>
                <w14:textFill>
                  <w14:solidFill>
                    <w14:schemeClr w14:val="tx1"/>
                  </w14:solidFill>
                </w14:textFill>
              </w:rPr>
            </w:pPr>
            <w:r>
              <w:rPr>
                <w:b w:val="0"/>
                <w:bCs w:val="0"/>
                <w:color w:val="000000" w:themeColor="text1"/>
                <w:spacing w:val="-4"/>
                <w:sz w:val="24"/>
                <w:szCs w:val="24"/>
                <w:highlight w:val="none"/>
                <w14:textFill>
                  <w14:solidFill>
                    <w14:schemeClr w14:val="tx1"/>
                  </w14:solidFill>
                </w14:textFill>
              </w:rPr>
              <w:t>施工组织</w:t>
            </w:r>
            <w:r>
              <w:rPr>
                <w:b w:val="0"/>
                <w:bCs w:val="0"/>
                <w:color w:val="000000" w:themeColor="text1"/>
                <w:spacing w:val="4"/>
                <w:sz w:val="24"/>
                <w:szCs w:val="24"/>
                <w:highlight w:val="none"/>
                <w14:textFill>
                  <w14:solidFill>
                    <w14:schemeClr w14:val="tx1"/>
                  </w14:solidFill>
                </w14:textFill>
              </w:rPr>
              <w:t>设计</w:t>
            </w:r>
          </w:p>
        </w:tc>
        <w:tc>
          <w:tcPr>
            <w:tcW w:w="900" w:type="dxa"/>
            <w:vMerge w:val="restart"/>
            <w:vAlign w:val="center"/>
          </w:tcPr>
          <w:p w14:paraId="676F79F3">
            <w:pPr>
              <w:pStyle w:val="11"/>
              <w:spacing w:before="117" w:line="216" w:lineRule="auto"/>
              <w:ind w:left="242"/>
              <w:jc w:val="center"/>
              <w:rPr>
                <w:b w:val="0"/>
                <w:bCs w:val="0"/>
                <w:color w:val="000000" w:themeColor="text1"/>
                <w:sz w:val="24"/>
                <w:szCs w:val="24"/>
                <w:highlight w:val="none"/>
                <w14:textFill>
                  <w14:solidFill>
                    <w14:schemeClr w14:val="tx1"/>
                  </w14:solidFill>
                </w14:textFill>
              </w:rPr>
            </w:pPr>
            <w:r>
              <w:rPr>
                <w:b w:val="0"/>
                <w:bCs w:val="0"/>
                <w:color w:val="000000" w:themeColor="text1"/>
                <w:spacing w:val="-2"/>
                <w:sz w:val="24"/>
                <w:szCs w:val="24"/>
                <w:highlight w:val="none"/>
                <w14:textFill>
                  <w14:solidFill>
                    <w14:schemeClr w14:val="tx1"/>
                  </w14:solidFill>
                </w14:textFill>
              </w:rPr>
              <w:t>25分</w:t>
            </w:r>
          </w:p>
        </w:tc>
        <w:tc>
          <w:tcPr>
            <w:tcW w:w="889" w:type="dxa"/>
            <w:vAlign w:val="center"/>
          </w:tcPr>
          <w:p w14:paraId="4AFF7D19">
            <w:pPr>
              <w:pStyle w:val="11"/>
              <w:spacing w:before="136" w:line="199" w:lineRule="auto"/>
              <w:ind w:left="123"/>
              <w:jc w:val="center"/>
              <w:rPr>
                <w:b w:val="0"/>
                <w:bCs w:val="0"/>
                <w:color w:val="000000" w:themeColor="text1"/>
                <w:sz w:val="24"/>
                <w:szCs w:val="24"/>
                <w:highlight w:val="none"/>
                <w14:textFill>
                  <w14:solidFill>
                    <w14:schemeClr w14:val="tx1"/>
                  </w14:solidFill>
                </w14:textFill>
              </w:rPr>
            </w:pPr>
            <w:r>
              <w:rPr>
                <w:b w:val="0"/>
                <w:bCs w:val="0"/>
                <w:color w:val="000000" w:themeColor="text1"/>
                <w:spacing w:val="-2"/>
                <w:sz w:val="24"/>
                <w:szCs w:val="24"/>
                <w:highlight w:val="none"/>
                <w14:textFill>
                  <w14:solidFill>
                    <w14:schemeClr w14:val="tx1"/>
                  </w14:solidFill>
                </w14:textFill>
              </w:rPr>
              <w:t>施工方案</w:t>
            </w:r>
            <w:r>
              <w:rPr>
                <w:b w:val="0"/>
                <w:bCs w:val="0"/>
                <w:color w:val="000000" w:themeColor="text1"/>
                <w:spacing w:val="2"/>
                <w:sz w:val="24"/>
                <w:szCs w:val="24"/>
                <w:highlight w:val="none"/>
                <w14:textFill>
                  <w14:solidFill>
                    <w14:schemeClr w14:val="tx1"/>
                  </w14:solidFill>
                </w14:textFill>
              </w:rPr>
              <w:t>总体描述</w:t>
            </w:r>
          </w:p>
        </w:tc>
        <w:tc>
          <w:tcPr>
            <w:tcW w:w="473" w:type="dxa"/>
            <w:vAlign w:val="center"/>
          </w:tcPr>
          <w:p w14:paraId="03038440">
            <w:pPr>
              <w:pStyle w:val="11"/>
              <w:spacing w:before="157" w:line="181" w:lineRule="auto"/>
              <w:ind w:left="214"/>
              <w:jc w:val="both"/>
              <w:rPr>
                <w:b w:val="0"/>
                <w:bCs w:val="0"/>
                <w:color w:val="000000" w:themeColor="text1"/>
                <w:sz w:val="24"/>
                <w:szCs w:val="24"/>
                <w:highlight w:val="none"/>
                <w14:textFill>
                  <w14:solidFill>
                    <w14:schemeClr w14:val="tx1"/>
                  </w14:solidFill>
                </w14:textFill>
              </w:rPr>
            </w:pPr>
            <w:r>
              <w:rPr>
                <w:b w:val="0"/>
                <w:bCs w:val="0"/>
                <w:color w:val="000000" w:themeColor="text1"/>
                <w:sz w:val="24"/>
                <w:szCs w:val="24"/>
                <w:highlight w:val="none"/>
                <w14:textFill>
                  <w14:solidFill>
                    <w14:schemeClr w14:val="tx1"/>
                  </w14:solidFill>
                </w14:textFill>
              </w:rPr>
              <w:t>5</w:t>
            </w:r>
          </w:p>
        </w:tc>
        <w:tc>
          <w:tcPr>
            <w:tcW w:w="5542" w:type="dxa"/>
            <w:vAlign w:val="top"/>
          </w:tcPr>
          <w:p w14:paraId="2639ECE9">
            <w:pPr>
              <w:pStyle w:val="11"/>
              <w:keepNext w:val="0"/>
              <w:keepLines w:val="0"/>
              <w:pageBreakBefore w:val="0"/>
              <w:widowControl w:val="0"/>
              <w:kinsoku/>
              <w:wordWrap/>
              <w:overflowPunct/>
              <w:topLinePunct w:val="0"/>
              <w:autoSpaceDE/>
              <w:autoSpaceDN/>
              <w:bidi w:val="0"/>
              <w:adjustRightInd/>
              <w:snapToGrid/>
              <w:spacing w:line="400" w:lineRule="exact"/>
              <w:ind w:left="0" w:right="0" w:firstLine="476" w:firstLineChars="200"/>
              <w:jc w:val="both"/>
              <w:textAlignment w:val="auto"/>
              <w:rPr>
                <w:b w:val="0"/>
                <w:bCs w:val="0"/>
                <w:color w:val="000000" w:themeColor="text1"/>
                <w:sz w:val="24"/>
                <w:szCs w:val="24"/>
                <w:highlight w:val="none"/>
                <w14:textFill>
                  <w14:solidFill>
                    <w14:schemeClr w14:val="tx1"/>
                  </w14:solidFill>
                </w14:textFill>
              </w:rPr>
            </w:pPr>
            <w:r>
              <w:rPr>
                <w:b w:val="0"/>
                <w:bCs w:val="0"/>
                <w:color w:val="000000" w:themeColor="text1"/>
                <w:spacing w:val="-1"/>
                <w:sz w:val="24"/>
                <w:szCs w:val="24"/>
                <w:highlight w:val="none"/>
                <w14:textFill>
                  <w14:solidFill>
                    <w14:schemeClr w14:val="tx1"/>
                  </w14:solidFill>
                </w14:textFill>
              </w:rPr>
              <w:t>施工方案总体描述具体，内容充实，对项目认识</w:t>
            </w:r>
            <w:r>
              <w:rPr>
                <w:b w:val="0"/>
                <w:bCs w:val="0"/>
                <w:color w:val="000000" w:themeColor="text1"/>
                <w:spacing w:val="-4"/>
                <w:sz w:val="24"/>
                <w:szCs w:val="24"/>
                <w:highlight w:val="none"/>
                <w14:textFill>
                  <w14:solidFill>
                    <w14:schemeClr w14:val="tx1"/>
                  </w14:solidFill>
                </w14:textFill>
              </w:rPr>
              <w:t>深刻，对施工过程有全面深刻的了解，准确掌握项目的特点，对项目施工中的关键点、难点，有准确的分析，对重要问题能提出有效可行的解决办法和具体措施，能够合理安排在雨、雪或雾天的施工内容。对保障工期问题有具体措施，完全</w:t>
            </w:r>
            <w:r>
              <w:rPr>
                <w:b w:val="0"/>
                <w:bCs w:val="0"/>
                <w:color w:val="000000" w:themeColor="text1"/>
                <w:sz w:val="24"/>
                <w:szCs w:val="24"/>
                <w:highlight w:val="none"/>
                <w14:textFill>
                  <w14:solidFill>
                    <w14:schemeClr w14:val="tx1"/>
                  </w14:solidFill>
                </w14:textFill>
              </w:rPr>
              <w:t>满足项目施工需要。本项最多得5分，最低得3</w:t>
            </w:r>
            <w:r>
              <w:rPr>
                <w:b w:val="0"/>
                <w:bCs w:val="0"/>
                <w:color w:val="000000" w:themeColor="text1"/>
                <w:spacing w:val="-1"/>
                <w:sz w:val="24"/>
                <w:szCs w:val="24"/>
                <w:highlight w:val="none"/>
                <w14:textFill>
                  <w14:solidFill>
                    <w14:schemeClr w14:val="tx1"/>
                  </w14:solidFill>
                </w14:textFill>
              </w:rPr>
              <w:t>分。</w:t>
            </w:r>
          </w:p>
        </w:tc>
      </w:tr>
      <w:tr w14:paraId="70BC9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0" w:hRule="atLeast"/>
        </w:trPr>
        <w:tc>
          <w:tcPr>
            <w:tcW w:w="678" w:type="dxa"/>
            <w:vMerge w:val="continue"/>
            <w:vAlign w:val="center"/>
          </w:tcPr>
          <w:p w14:paraId="03AE85A9">
            <w:pPr>
              <w:pStyle w:val="11"/>
              <w:spacing w:before="140" w:line="196" w:lineRule="auto"/>
              <w:ind w:left="45"/>
              <w:jc w:val="center"/>
              <w:rPr>
                <w:b w:val="0"/>
                <w:bCs w:val="0"/>
                <w:color w:val="000000" w:themeColor="text1"/>
                <w:spacing w:val="-2"/>
                <w:sz w:val="24"/>
                <w:szCs w:val="24"/>
                <w:highlight w:val="none"/>
                <w14:textFill>
                  <w14:solidFill>
                    <w14:schemeClr w14:val="tx1"/>
                  </w14:solidFill>
                </w14:textFill>
              </w:rPr>
            </w:pPr>
          </w:p>
        </w:tc>
        <w:tc>
          <w:tcPr>
            <w:tcW w:w="808" w:type="dxa"/>
            <w:vMerge w:val="continue"/>
            <w:vAlign w:val="center"/>
          </w:tcPr>
          <w:p w14:paraId="4CC9C80B">
            <w:pPr>
              <w:pStyle w:val="11"/>
              <w:spacing w:before="136" w:line="199" w:lineRule="auto"/>
              <w:ind w:left="114"/>
              <w:jc w:val="center"/>
              <w:rPr>
                <w:b w:val="0"/>
                <w:bCs w:val="0"/>
                <w:color w:val="000000" w:themeColor="text1"/>
                <w:spacing w:val="-4"/>
                <w:sz w:val="24"/>
                <w:szCs w:val="24"/>
                <w:highlight w:val="none"/>
                <w14:textFill>
                  <w14:solidFill>
                    <w14:schemeClr w14:val="tx1"/>
                  </w14:solidFill>
                </w14:textFill>
              </w:rPr>
            </w:pPr>
          </w:p>
        </w:tc>
        <w:tc>
          <w:tcPr>
            <w:tcW w:w="900" w:type="dxa"/>
            <w:vMerge w:val="continue"/>
            <w:vAlign w:val="center"/>
          </w:tcPr>
          <w:p w14:paraId="5FF8D16B">
            <w:pPr>
              <w:pStyle w:val="11"/>
              <w:spacing w:before="117" w:line="216" w:lineRule="auto"/>
              <w:ind w:left="242"/>
              <w:jc w:val="center"/>
              <w:rPr>
                <w:b w:val="0"/>
                <w:bCs w:val="0"/>
                <w:color w:val="000000" w:themeColor="text1"/>
                <w:spacing w:val="-2"/>
                <w:sz w:val="24"/>
                <w:szCs w:val="24"/>
                <w:highlight w:val="none"/>
                <w14:textFill>
                  <w14:solidFill>
                    <w14:schemeClr w14:val="tx1"/>
                  </w14:solidFill>
                </w14:textFill>
              </w:rPr>
            </w:pPr>
          </w:p>
        </w:tc>
        <w:tc>
          <w:tcPr>
            <w:tcW w:w="889" w:type="dxa"/>
            <w:shd w:val="clear" w:color="auto" w:fill="auto"/>
            <w:vAlign w:val="center"/>
          </w:tcPr>
          <w:p w14:paraId="0D26FC9D">
            <w:pPr>
              <w:spacing w:line="249" w:lineRule="auto"/>
              <w:jc w:val="center"/>
              <w:rPr>
                <w:rFonts w:ascii="Arial"/>
                <w:b w:val="0"/>
                <w:bCs w:val="0"/>
                <w:color w:val="000000" w:themeColor="text1"/>
                <w:sz w:val="24"/>
                <w:szCs w:val="24"/>
                <w:highlight w:val="none"/>
                <w14:textFill>
                  <w14:solidFill>
                    <w14:schemeClr w14:val="tx1"/>
                  </w14:solidFill>
                </w14:textFill>
              </w:rPr>
            </w:pPr>
          </w:p>
          <w:p w14:paraId="6B64F6E7">
            <w:pPr>
              <w:pStyle w:val="11"/>
              <w:spacing w:before="71" w:line="221" w:lineRule="auto"/>
              <w:ind w:left="103"/>
              <w:jc w:val="center"/>
              <w:rPr>
                <w:rFonts w:ascii="宋体" w:hAnsi="宋体" w:eastAsia="宋体" w:cs="宋体"/>
                <w:b w:val="0"/>
                <w:bCs w:val="0"/>
                <w:color w:val="000000" w:themeColor="text1"/>
                <w:kern w:val="2"/>
                <w:sz w:val="24"/>
                <w:szCs w:val="24"/>
                <w:highlight w:val="none"/>
                <w:lang w:val="en-US" w:eastAsia="en-US" w:bidi="ar-SA"/>
                <w14:textFill>
                  <w14:solidFill>
                    <w14:schemeClr w14:val="tx1"/>
                  </w14:solidFill>
                </w14:textFill>
              </w:rPr>
            </w:pPr>
            <w:r>
              <w:rPr>
                <w:b w:val="0"/>
                <w:bCs w:val="0"/>
                <w:color w:val="000000" w:themeColor="text1"/>
                <w:spacing w:val="-2"/>
                <w:sz w:val="24"/>
                <w:szCs w:val="24"/>
                <w:highlight w:val="none"/>
                <w14:textFill>
                  <w14:solidFill>
                    <w14:schemeClr w14:val="tx1"/>
                  </w14:solidFill>
                </w14:textFill>
              </w:rPr>
              <w:t>重难点理</w:t>
            </w:r>
            <w:r>
              <w:rPr>
                <w:b w:val="0"/>
                <w:bCs w:val="0"/>
                <w:color w:val="000000" w:themeColor="text1"/>
                <w:sz w:val="24"/>
                <w:szCs w:val="24"/>
                <w:highlight w:val="none"/>
                <w14:textFill>
                  <w14:solidFill>
                    <w14:schemeClr w14:val="tx1"/>
                  </w14:solidFill>
                </w14:textFill>
              </w:rPr>
              <w:t>解</w:t>
            </w:r>
          </w:p>
        </w:tc>
        <w:tc>
          <w:tcPr>
            <w:tcW w:w="473" w:type="dxa"/>
            <w:shd w:val="clear" w:color="auto" w:fill="auto"/>
            <w:vAlign w:val="center"/>
          </w:tcPr>
          <w:p w14:paraId="773E2A5C">
            <w:pPr>
              <w:pStyle w:val="11"/>
              <w:spacing w:before="71"/>
              <w:ind w:left="234" w:leftChars="0"/>
              <w:jc w:val="both"/>
              <w:rPr>
                <w:rFonts w:ascii="宋体" w:hAnsi="宋体" w:eastAsia="宋体" w:cs="宋体"/>
                <w:b w:val="0"/>
                <w:bCs w:val="0"/>
                <w:color w:val="000000" w:themeColor="text1"/>
                <w:kern w:val="2"/>
                <w:sz w:val="24"/>
                <w:szCs w:val="24"/>
                <w:highlight w:val="none"/>
                <w:lang w:val="en-US" w:eastAsia="en-US" w:bidi="ar-SA"/>
                <w14:textFill>
                  <w14:solidFill>
                    <w14:schemeClr w14:val="tx1"/>
                  </w14:solidFill>
                </w14:textFill>
              </w:rPr>
            </w:pPr>
            <w:r>
              <w:rPr>
                <w:b w:val="0"/>
                <w:bCs w:val="0"/>
                <w:color w:val="000000" w:themeColor="text1"/>
                <w:sz w:val="24"/>
                <w:szCs w:val="24"/>
                <w:highlight w:val="none"/>
                <w14:textFill>
                  <w14:solidFill>
                    <w14:schemeClr w14:val="tx1"/>
                  </w14:solidFill>
                </w14:textFill>
              </w:rPr>
              <w:t>5</w:t>
            </w:r>
          </w:p>
        </w:tc>
        <w:tc>
          <w:tcPr>
            <w:tcW w:w="5542" w:type="dxa"/>
            <w:shd w:val="clear" w:color="auto" w:fill="auto"/>
            <w:vAlign w:val="top"/>
          </w:tcPr>
          <w:p w14:paraId="3D260539">
            <w:pPr>
              <w:pStyle w:val="11"/>
              <w:keepNext w:val="0"/>
              <w:keepLines w:val="0"/>
              <w:pageBreakBefore w:val="0"/>
              <w:widowControl w:val="0"/>
              <w:kinsoku/>
              <w:wordWrap/>
              <w:overflowPunct/>
              <w:topLinePunct w:val="0"/>
              <w:autoSpaceDE/>
              <w:autoSpaceDN/>
              <w:bidi w:val="0"/>
              <w:adjustRightInd/>
              <w:snapToGrid/>
              <w:spacing w:line="400" w:lineRule="exact"/>
              <w:ind w:left="0" w:leftChars="0" w:right="0" w:firstLine="447" w:firstLineChars="213"/>
              <w:jc w:val="both"/>
              <w:textAlignment w:val="auto"/>
              <w:rPr>
                <w:rFonts w:ascii="宋体" w:hAnsi="宋体" w:eastAsia="宋体" w:cs="宋体"/>
                <w:b w:val="0"/>
                <w:bCs w:val="0"/>
                <w:color w:val="000000" w:themeColor="text1"/>
                <w:kern w:val="2"/>
                <w:sz w:val="24"/>
                <w:szCs w:val="24"/>
                <w:highlight w:val="none"/>
                <w:lang w:val="en-US" w:eastAsia="en-US" w:bidi="ar-SA"/>
                <w14:textFill>
                  <w14:solidFill>
                    <w14:schemeClr w14:val="tx1"/>
                  </w14:solidFill>
                </w14:textFill>
              </w:rPr>
            </w:pPr>
            <w:r>
              <w:rPr>
                <w:b w:val="0"/>
                <w:bCs w:val="0"/>
                <w:color w:val="000000" w:themeColor="text1"/>
                <w:spacing w:val="-15"/>
                <w:sz w:val="24"/>
                <w:szCs w:val="24"/>
                <w:highlight w:val="none"/>
                <w14:textFill>
                  <w14:solidFill>
                    <w14:schemeClr w14:val="tx1"/>
                  </w14:solidFill>
                </w14:textFill>
              </w:rPr>
              <w:t>对本项目重点难点的理解及施工方案、工艺流程，</w:t>
            </w:r>
            <w:r>
              <w:rPr>
                <w:b w:val="0"/>
                <w:bCs w:val="0"/>
                <w:color w:val="000000" w:themeColor="text1"/>
                <w:spacing w:val="14"/>
                <w:sz w:val="24"/>
                <w:szCs w:val="24"/>
                <w:highlight w:val="none"/>
                <w14:textFill>
                  <w14:solidFill>
                    <w14:schemeClr w14:val="tx1"/>
                  </w14:solidFill>
                </w14:textFill>
              </w:rPr>
              <w:t xml:space="preserve"> </w:t>
            </w:r>
            <w:r>
              <w:rPr>
                <w:b w:val="0"/>
                <w:bCs w:val="0"/>
                <w:color w:val="000000" w:themeColor="text1"/>
                <w:spacing w:val="-3"/>
                <w:sz w:val="24"/>
                <w:szCs w:val="24"/>
                <w:highlight w:val="none"/>
                <w14:textFill>
                  <w14:solidFill>
                    <w14:schemeClr w14:val="tx1"/>
                  </w14:solidFill>
                </w14:textFill>
              </w:rPr>
              <w:t>完善且理解较深、有针对性措施。本项最多得5</w:t>
            </w:r>
            <w:r>
              <w:rPr>
                <w:b w:val="0"/>
                <w:bCs w:val="0"/>
                <w:color w:val="000000" w:themeColor="text1"/>
                <w:spacing w:val="-4"/>
                <w:sz w:val="24"/>
                <w:szCs w:val="24"/>
                <w:highlight w:val="none"/>
                <w14:textFill>
                  <w14:solidFill>
                    <w14:schemeClr w14:val="tx1"/>
                  </w14:solidFill>
                </w14:textFill>
              </w:rPr>
              <w:t>分，最低得3分。</w:t>
            </w:r>
          </w:p>
        </w:tc>
      </w:tr>
      <w:tr w14:paraId="46E33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7" w:hRule="atLeast"/>
        </w:trPr>
        <w:tc>
          <w:tcPr>
            <w:tcW w:w="678" w:type="dxa"/>
            <w:vMerge w:val="continue"/>
            <w:vAlign w:val="center"/>
          </w:tcPr>
          <w:p w14:paraId="210E5701">
            <w:pPr>
              <w:pStyle w:val="11"/>
              <w:spacing w:before="140" w:line="196" w:lineRule="auto"/>
              <w:ind w:left="45"/>
              <w:jc w:val="center"/>
              <w:rPr>
                <w:b w:val="0"/>
                <w:bCs w:val="0"/>
                <w:color w:val="000000" w:themeColor="text1"/>
                <w:spacing w:val="-2"/>
                <w:sz w:val="24"/>
                <w:szCs w:val="24"/>
                <w:highlight w:val="none"/>
                <w14:textFill>
                  <w14:solidFill>
                    <w14:schemeClr w14:val="tx1"/>
                  </w14:solidFill>
                </w14:textFill>
              </w:rPr>
            </w:pPr>
          </w:p>
        </w:tc>
        <w:tc>
          <w:tcPr>
            <w:tcW w:w="808" w:type="dxa"/>
            <w:vMerge w:val="continue"/>
            <w:vAlign w:val="center"/>
          </w:tcPr>
          <w:p w14:paraId="56A64468">
            <w:pPr>
              <w:pStyle w:val="11"/>
              <w:spacing w:before="136" w:line="199" w:lineRule="auto"/>
              <w:ind w:left="114"/>
              <w:jc w:val="center"/>
              <w:rPr>
                <w:b w:val="0"/>
                <w:bCs w:val="0"/>
                <w:color w:val="000000" w:themeColor="text1"/>
                <w:spacing w:val="-4"/>
                <w:sz w:val="24"/>
                <w:szCs w:val="24"/>
                <w:highlight w:val="none"/>
                <w14:textFill>
                  <w14:solidFill>
                    <w14:schemeClr w14:val="tx1"/>
                  </w14:solidFill>
                </w14:textFill>
              </w:rPr>
            </w:pPr>
          </w:p>
        </w:tc>
        <w:tc>
          <w:tcPr>
            <w:tcW w:w="900" w:type="dxa"/>
            <w:vMerge w:val="continue"/>
            <w:vAlign w:val="center"/>
          </w:tcPr>
          <w:p w14:paraId="311E7241">
            <w:pPr>
              <w:pStyle w:val="11"/>
              <w:spacing w:before="117" w:line="216" w:lineRule="auto"/>
              <w:ind w:left="242"/>
              <w:jc w:val="center"/>
              <w:rPr>
                <w:b w:val="0"/>
                <w:bCs w:val="0"/>
                <w:color w:val="000000" w:themeColor="text1"/>
                <w:spacing w:val="-2"/>
                <w:sz w:val="24"/>
                <w:szCs w:val="24"/>
                <w:highlight w:val="none"/>
                <w14:textFill>
                  <w14:solidFill>
                    <w14:schemeClr w14:val="tx1"/>
                  </w14:solidFill>
                </w14:textFill>
              </w:rPr>
            </w:pPr>
          </w:p>
        </w:tc>
        <w:tc>
          <w:tcPr>
            <w:tcW w:w="889" w:type="dxa"/>
            <w:shd w:val="clear" w:color="auto" w:fill="auto"/>
            <w:vAlign w:val="center"/>
          </w:tcPr>
          <w:p w14:paraId="75F6E193">
            <w:pPr>
              <w:pStyle w:val="11"/>
              <w:keepNext w:val="0"/>
              <w:keepLines w:val="0"/>
              <w:pageBreakBefore w:val="0"/>
              <w:widowControl w:val="0"/>
              <w:kinsoku/>
              <w:wordWrap/>
              <w:overflowPunct/>
              <w:topLinePunct w:val="0"/>
              <w:autoSpaceDE/>
              <w:autoSpaceDN/>
              <w:bidi w:val="0"/>
              <w:adjustRightInd/>
              <w:snapToGrid/>
              <w:spacing w:line="220" w:lineRule="auto"/>
              <w:ind w:left="102"/>
              <w:jc w:val="center"/>
              <w:textAlignment w:val="auto"/>
              <w:rPr>
                <w:rFonts w:ascii="宋体" w:hAnsi="宋体" w:eastAsia="宋体" w:cs="宋体"/>
                <w:b w:val="0"/>
                <w:bCs w:val="0"/>
                <w:color w:val="000000" w:themeColor="text1"/>
                <w:kern w:val="2"/>
                <w:sz w:val="24"/>
                <w:szCs w:val="24"/>
                <w:highlight w:val="none"/>
                <w:lang w:val="en-US" w:eastAsia="en-US" w:bidi="ar-SA"/>
                <w14:textFill>
                  <w14:solidFill>
                    <w14:schemeClr w14:val="tx1"/>
                  </w14:solidFill>
                </w14:textFill>
              </w:rPr>
            </w:pPr>
            <w:r>
              <w:rPr>
                <w:b w:val="0"/>
                <w:bCs w:val="0"/>
                <w:color w:val="000000" w:themeColor="text1"/>
                <w:spacing w:val="-2"/>
                <w:sz w:val="24"/>
                <w:szCs w:val="24"/>
                <w:highlight w:val="none"/>
                <w14:textFill>
                  <w14:solidFill>
                    <w14:schemeClr w14:val="tx1"/>
                  </w14:solidFill>
                </w14:textFill>
              </w:rPr>
              <w:t>施工队伍及施工组</w:t>
            </w:r>
            <w:r>
              <w:rPr>
                <w:b w:val="0"/>
                <w:bCs w:val="0"/>
                <w:color w:val="000000" w:themeColor="text1"/>
                <w:spacing w:val="5"/>
                <w:sz w:val="24"/>
                <w:szCs w:val="24"/>
                <w:highlight w:val="none"/>
                <w14:textFill>
                  <w14:solidFill>
                    <w14:schemeClr w14:val="tx1"/>
                  </w14:solidFill>
                </w14:textFill>
              </w:rPr>
              <w:t>织计划</w:t>
            </w:r>
          </w:p>
        </w:tc>
        <w:tc>
          <w:tcPr>
            <w:tcW w:w="473" w:type="dxa"/>
            <w:shd w:val="clear" w:color="auto" w:fill="auto"/>
            <w:vAlign w:val="center"/>
          </w:tcPr>
          <w:p w14:paraId="7885E4AF">
            <w:pPr>
              <w:pStyle w:val="11"/>
              <w:spacing w:before="71"/>
              <w:ind w:left="234" w:leftChars="0"/>
              <w:jc w:val="both"/>
              <w:rPr>
                <w:rFonts w:ascii="宋体" w:hAnsi="宋体" w:eastAsia="宋体" w:cs="宋体"/>
                <w:b w:val="0"/>
                <w:bCs w:val="0"/>
                <w:color w:val="000000" w:themeColor="text1"/>
                <w:kern w:val="2"/>
                <w:sz w:val="24"/>
                <w:szCs w:val="24"/>
                <w:highlight w:val="none"/>
                <w:lang w:val="en-US" w:eastAsia="en-US" w:bidi="ar-SA"/>
                <w14:textFill>
                  <w14:solidFill>
                    <w14:schemeClr w14:val="tx1"/>
                  </w14:solidFill>
                </w14:textFill>
              </w:rPr>
            </w:pPr>
            <w:r>
              <w:rPr>
                <w:b w:val="0"/>
                <w:bCs w:val="0"/>
                <w:color w:val="000000" w:themeColor="text1"/>
                <w:sz w:val="24"/>
                <w:szCs w:val="24"/>
                <w:highlight w:val="none"/>
                <w14:textFill>
                  <w14:solidFill>
                    <w14:schemeClr w14:val="tx1"/>
                  </w14:solidFill>
                </w14:textFill>
              </w:rPr>
              <w:t>5</w:t>
            </w:r>
          </w:p>
        </w:tc>
        <w:tc>
          <w:tcPr>
            <w:tcW w:w="5542" w:type="dxa"/>
            <w:shd w:val="clear" w:color="auto" w:fill="auto"/>
            <w:vAlign w:val="top"/>
          </w:tcPr>
          <w:p w14:paraId="2AEB19EC">
            <w:pPr>
              <w:pStyle w:val="11"/>
              <w:keepNext w:val="0"/>
              <w:keepLines w:val="0"/>
              <w:pageBreakBefore w:val="0"/>
              <w:widowControl w:val="0"/>
              <w:kinsoku/>
              <w:wordWrap/>
              <w:overflowPunct/>
              <w:topLinePunct w:val="0"/>
              <w:autoSpaceDE/>
              <w:autoSpaceDN/>
              <w:bidi w:val="0"/>
              <w:adjustRightInd/>
              <w:snapToGrid/>
              <w:spacing w:line="400" w:lineRule="exact"/>
              <w:ind w:left="0" w:leftChars="0" w:right="0" w:firstLine="446" w:firstLineChars="203"/>
              <w:jc w:val="both"/>
              <w:textAlignment w:val="auto"/>
              <w:rPr>
                <w:rFonts w:ascii="宋体" w:hAnsi="宋体" w:eastAsia="宋体" w:cs="宋体"/>
                <w:b w:val="0"/>
                <w:bCs w:val="0"/>
                <w:color w:val="000000" w:themeColor="text1"/>
                <w:kern w:val="2"/>
                <w:sz w:val="24"/>
                <w:szCs w:val="24"/>
                <w:highlight w:val="none"/>
                <w:lang w:val="en-US" w:eastAsia="en-US" w:bidi="ar-SA"/>
                <w14:textFill>
                  <w14:solidFill>
                    <w14:schemeClr w14:val="tx1"/>
                  </w14:solidFill>
                </w14:textFill>
              </w:rPr>
            </w:pPr>
            <w:r>
              <w:rPr>
                <w:b w:val="0"/>
                <w:bCs w:val="0"/>
                <w:color w:val="000000" w:themeColor="text1"/>
                <w:spacing w:val="-10"/>
                <w:sz w:val="24"/>
                <w:szCs w:val="24"/>
                <w:highlight w:val="none"/>
                <w14:textFill>
                  <w14:solidFill>
                    <w14:schemeClr w14:val="tx1"/>
                  </w14:solidFill>
                </w14:textFill>
              </w:rPr>
              <w:t>投标人拟投入的施工队伍对项目施工有较强的技</w:t>
            </w:r>
            <w:r>
              <w:rPr>
                <w:b w:val="0"/>
                <w:bCs w:val="0"/>
                <w:color w:val="000000" w:themeColor="text1"/>
                <w:spacing w:val="-9"/>
                <w:sz w:val="24"/>
                <w:szCs w:val="24"/>
                <w:highlight w:val="none"/>
                <w14:textFill>
                  <w14:solidFill>
                    <w14:schemeClr w14:val="tx1"/>
                  </w14:solidFill>
                </w14:textFill>
              </w:rPr>
              <w:t>术把握能力和丰富的施工经验；其施工组织计划</w:t>
            </w:r>
            <w:r>
              <w:rPr>
                <w:b w:val="0"/>
                <w:bCs w:val="0"/>
                <w:color w:val="000000" w:themeColor="text1"/>
                <w:spacing w:val="-15"/>
                <w:sz w:val="24"/>
                <w:szCs w:val="24"/>
                <w:highlight w:val="none"/>
                <w14:textFill>
                  <w14:solidFill>
                    <w14:schemeClr w14:val="tx1"/>
                  </w14:solidFill>
                </w14:textFill>
              </w:rPr>
              <w:t>内容详实，任务明确，对施工有明确的指导作用。</w:t>
            </w:r>
            <w:r>
              <w:rPr>
                <w:b w:val="0"/>
                <w:bCs w:val="0"/>
                <w:color w:val="000000" w:themeColor="text1"/>
                <w:spacing w:val="13"/>
                <w:sz w:val="24"/>
                <w:szCs w:val="24"/>
                <w:highlight w:val="none"/>
                <w14:textFill>
                  <w14:solidFill>
                    <w14:schemeClr w14:val="tx1"/>
                  </w14:solidFill>
                </w14:textFill>
              </w:rPr>
              <w:t xml:space="preserve"> </w:t>
            </w:r>
            <w:r>
              <w:rPr>
                <w:b w:val="0"/>
                <w:bCs w:val="0"/>
                <w:color w:val="000000" w:themeColor="text1"/>
                <w:spacing w:val="-10"/>
                <w:sz w:val="24"/>
                <w:szCs w:val="24"/>
                <w:highlight w:val="none"/>
                <w14:textFill>
                  <w14:solidFill>
                    <w14:schemeClr w14:val="tx1"/>
                  </w14:solidFill>
                </w14:textFill>
              </w:rPr>
              <w:t>对施工工序安排，全面、合理，充分考虑各工序</w:t>
            </w:r>
            <w:r>
              <w:rPr>
                <w:b w:val="0"/>
                <w:bCs w:val="0"/>
                <w:color w:val="000000" w:themeColor="text1"/>
                <w:spacing w:val="-5"/>
                <w:sz w:val="24"/>
                <w:szCs w:val="24"/>
                <w:highlight w:val="none"/>
                <w14:textFill>
                  <w14:solidFill>
                    <w14:schemeClr w14:val="tx1"/>
                  </w14:solidFill>
                </w14:textFill>
              </w:rPr>
              <w:t>的交叉作业，有保证措施确保计划的全面实施。本项最多得5分，最低得3分。</w:t>
            </w:r>
          </w:p>
        </w:tc>
      </w:tr>
      <w:tr w14:paraId="780CB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trPr>
        <w:tc>
          <w:tcPr>
            <w:tcW w:w="678" w:type="dxa"/>
            <w:vMerge w:val="continue"/>
            <w:vAlign w:val="center"/>
          </w:tcPr>
          <w:p w14:paraId="5A8554E4">
            <w:pPr>
              <w:pStyle w:val="11"/>
              <w:spacing w:before="140" w:line="196" w:lineRule="auto"/>
              <w:ind w:left="45"/>
              <w:jc w:val="center"/>
              <w:rPr>
                <w:b w:val="0"/>
                <w:bCs w:val="0"/>
                <w:color w:val="000000" w:themeColor="text1"/>
                <w:spacing w:val="-2"/>
                <w:sz w:val="24"/>
                <w:szCs w:val="24"/>
                <w:highlight w:val="none"/>
                <w14:textFill>
                  <w14:solidFill>
                    <w14:schemeClr w14:val="tx1"/>
                  </w14:solidFill>
                </w14:textFill>
              </w:rPr>
            </w:pPr>
          </w:p>
        </w:tc>
        <w:tc>
          <w:tcPr>
            <w:tcW w:w="808" w:type="dxa"/>
            <w:vMerge w:val="continue"/>
            <w:vAlign w:val="center"/>
          </w:tcPr>
          <w:p w14:paraId="37619055">
            <w:pPr>
              <w:pStyle w:val="11"/>
              <w:spacing w:before="136" w:line="199" w:lineRule="auto"/>
              <w:ind w:left="114"/>
              <w:jc w:val="center"/>
              <w:rPr>
                <w:b w:val="0"/>
                <w:bCs w:val="0"/>
                <w:color w:val="000000" w:themeColor="text1"/>
                <w:spacing w:val="-4"/>
                <w:sz w:val="24"/>
                <w:szCs w:val="24"/>
                <w:highlight w:val="none"/>
                <w14:textFill>
                  <w14:solidFill>
                    <w14:schemeClr w14:val="tx1"/>
                  </w14:solidFill>
                </w14:textFill>
              </w:rPr>
            </w:pPr>
          </w:p>
        </w:tc>
        <w:tc>
          <w:tcPr>
            <w:tcW w:w="900" w:type="dxa"/>
            <w:vMerge w:val="continue"/>
            <w:vAlign w:val="center"/>
          </w:tcPr>
          <w:p w14:paraId="07F38729">
            <w:pPr>
              <w:pStyle w:val="11"/>
              <w:spacing w:before="117" w:line="216" w:lineRule="auto"/>
              <w:ind w:left="242"/>
              <w:jc w:val="center"/>
              <w:rPr>
                <w:b w:val="0"/>
                <w:bCs w:val="0"/>
                <w:color w:val="000000" w:themeColor="text1"/>
                <w:spacing w:val="-2"/>
                <w:sz w:val="24"/>
                <w:szCs w:val="24"/>
                <w:highlight w:val="none"/>
                <w14:textFill>
                  <w14:solidFill>
                    <w14:schemeClr w14:val="tx1"/>
                  </w14:solidFill>
                </w14:textFill>
              </w:rPr>
            </w:pPr>
          </w:p>
        </w:tc>
        <w:tc>
          <w:tcPr>
            <w:tcW w:w="889" w:type="dxa"/>
            <w:shd w:val="clear" w:color="auto" w:fill="auto"/>
            <w:vAlign w:val="center"/>
          </w:tcPr>
          <w:p w14:paraId="05128207">
            <w:pPr>
              <w:pStyle w:val="11"/>
              <w:keepNext w:val="0"/>
              <w:keepLines w:val="0"/>
              <w:pageBreakBefore w:val="0"/>
              <w:widowControl w:val="0"/>
              <w:kinsoku/>
              <w:wordWrap/>
              <w:overflowPunct/>
              <w:topLinePunct w:val="0"/>
              <w:autoSpaceDE/>
              <w:autoSpaceDN/>
              <w:bidi w:val="0"/>
              <w:adjustRightInd/>
              <w:snapToGrid/>
              <w:spacing w:line="219" w:lineRule="auto"/>
              <w:ind w:left="102"/>
              <w:jc w:val="center"/>
              <w:textAlignment w:val="auto"/>
              <w:rPr>
                <w:rFonts w:ascii="宋体" w:hAnsi="宋体" w:eastAsia="宋体" w:cs="宋体"/>
                <w:b w:val="0"/>
                <w:bCs w:val="0"/>
                <w:color w:val="000000" w:themeColor="text1"/>
                <w:kern w:val="2"/>
                <w:sz w:val="24"/>
                <w:szCs w:val="24"/>
                <w:highlight w:val="none"/>
                <w:lang w:val="en-US" w:eastAsia="en-US" w:bidi="ar-SA"/>
                <w14:textFill>
                  <w14:solidFill>
                    <w14:schemeClr w14:val="tx1"/>
                  </w14:solidFill>
                </w14:textFill>
              </w:rPr>
            </w:pPr>
            <w:r>
              <w:rPr>
                <w:b w:val="0"/>
                <w:bCs w:val="0"/>
                <w:color w:val="000000" w:themeColor="text1"/>
                <w:spacing w:val="3"/>
                <w:sz w:val="24"/>
                <w:szCs w:val="24"/>
                <w:highlight w:val="none"/>
                <w14:textFill>
                  <w14:solidFill>
                    <w14:schemeClr w14:val="tx1"/>
                  </w14:solidFill>
                </w14:textFill>
              </w:rPr>
              <w:t>安全生产</w:t>
            </w:r>
            <w:r>
              <w:rPr>
                <w:b w:val="0"/>
                <w:bCs w:val="0"/>
                <w:color w:val="000000" w:themeColor="text1"/>
                <w:spacing w:val="-3"/>
                <w:sz w:val="24"/>
                <w:szCs w:val="24"/>
                <w:highlight w:val="none"/>
                <w14:textFill>
                  <w14:solidFill>
                    <w14:schemeClr w14:val="tx1"/>
                  </w14:solidFill>
                </w14:textFill>
              </w:rPr>
              <w:t>措施</w:t>
            </w:r>
          </w:p>
        </w:tc>
        <w:tc>
          <w:tcPr>
            <w:tcW w:w="473" w:type="dxa"/>
            <w:shd w:val="clear" w:color="auto" w:fill="auto"/>
            <w:vAlign w:val="center"/>
          </w:tcPr>
          <w:p w14:paraId="61F7DC6A">
            <w:pPr>
              <w:pStyle w:val="11"/>
              <w:spacing w:before="72"/>
              <w:ind w:left="234" w:leftChars="0"/>
              <w:jc w:val="both"/>
              <w:rPr>
                <w:rFonts w:ascii="宋体" w:hAnsi="宋体" w:eastAsia="宋体" w:cs="宋体"/>
                <w:b w:val="0"/>
                <w:bCs w:val="0"/>
                <w:color w:val="000000" w:themeColor="text1"/>
                <w:kern w:val="2"/>
                <w:sz w:val="24"/>
                <w:szCs w:val="24"/>
                <w:highlight w:val="none"/>
                <w:lang w:val="en-US" w:eastAsia="en-US" w:bidi="ar-SA"/>
                <w14:textFill>
                  <w14:solidFill>
                    <w14:schemeClr w14:val="tx1"/>
                  </w14:solidFill>
                </w14:textFill>
              </w:rPr>
            </w:pPr>
            <w:r>
              <w:rPr>
                <w:b w:val="0"/>
                <w:bCs w:val="0"/>
                <w:color w:val="000000" w:themeColor="text1"/>
                <w:sz w:val="24"/>
                <w:szCs w:val="24"/>
                <w:highlight w:val="none"/>
                <w14:textFill>
                  <w14:solidFill>
                    <w14:schemeClr w14:val="tx1"/>
                  </w14:solidFill>
                </w14:textFill>
              </w:rPr>
              <w:t>5</w:t>
            </w:r>
          </w:p>
        </w:tc>
        <w:tc>
          <w:tcPr>
            <w:tcW w:w="5542" w:type="dxa"/>
            <w:shd w:val="clear" w:color="auto" w:fill="auto"/>
            <w:vAlign w:val="top"/>
          </w:tcPr>
          <w:p w14:paraId="760837DC">
            <w:pPr>
              <w:pStyle w:val="11"/>
              <w:keepNext w:val="0"/>
              <w:keepLines w:val="0"/>
              <w:pageBreakBefore w:val="0"/>
              <w:widowControl w:val="0"/>
              <w:kinsoku/>
              <w:wordWrap/>
              <w:overflowPunct/>
              <w:topLinePunct w:val="0"/>
              <w:autoSpaceDE/>
              <w:autoSpaceDN/>
              <w:bidi w:val="0"/>
              <w:adjustRightInd/>
              <w:snapToGrid/>
              <w:spacing w:line="400" w:lineRule="exact"/>
              <w:ind w:right="0" w:firstLine="460" w:firstLineChars="200"/>
              <w:jc w:val="both"/>
              <w:textAlignment w:val="auto"/>
              <w:rPr>
                <w:rFonts w:ascii="宋体" w:hAnsi="宋体" w:eastAsia="宋体" w:cs="宋体"/>
                <w:b w:val="0"/>
                <w:bCs w:val="0"/>
                <w:color w:val="000000" w:themeColor="text1"/>
                <w:kern w:val="2"/>
                <w:sz w:val="24"/>
                <w:szCs w:val="24"/>
                <w:highlight w:val="none"/>
                <w:lang w:val="en-US" w:eastAsia="en-US" w:bidi="ar-SA"/>
                <w14:textFill>
                  <w14:solidFill>
                    <w14:schemeClr w14:val="tx1"/>
                  </w14:solidFill>
                </w14:textFill>
              </w:rPr>
            </w:pPr>
            <w:r>
              <w:rPr>
                <w:b w:val="0"/>
                <w:bCs w:val="0"/>
                <w:color w:val="000000" w:themeColor="text1"/>
                <w:spacing w:val="-5"/>
                <w:sz w:val="24"/>
                <w:szCs w:val="24"/>
                <w:highlight w:val="none"/>
                <w14:textFill>
                  <w14:solidFill>
                    <w14:schemeClr w14:val="tx1"/>
                  </w14:solidFill>
                </w14:textFill>
              </w:rPr>
              <w:t>针对本项目的安全生产组织机构，管理措施，表述基本齐全，内容全面并且合理可行的。本项最</w:t>
            </w:r>
            <w:r>
              <w:rPr>
                <w:b w:val="0"/>
                <w:bCs w:val="0"/>
                <w:color w:val="000000" w:themeColor="text1"/>
                <w:spacing w:val="-1"/>
                <w:sz w:val="24"/>
                <w:szCs w:val="24"/>
                <w:highlight w:val="none"/>
                <w14:textFill>
                  <w14:solidFill>
                    <w14:schemeClr w14:val="tx1"/>
                  </w14:solidFill>
                </w14:textFill>
              </w:rPr>
              <w:t>多得5分，最低得3分。</w:t>
            </w:r>
          </w:p>
        </w:tc>
      </w:tr>
      <w:tr w14:paraId="0EFDD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678" w:type="dxa"/>
            <w:vMerge w:val="continue"/>
            <w:vAlign w:val="center"/>
          </w:tcPr>
          <w:p w14:paraId="08B526E1">
            <w:pPr>
              <w:pStyle w:val="11"/>
              <w:spacing w:before="140" w:line="196" w:lineRule="auto"/>
              <w:ind w:left="45"/>
              <w:jc w:val="center"/>
              <w:rPr>
                <w:b w:val="0"/>
                <w:bCs w:val="0"/>
                <w:color w:val="000000" w:themeColor="text1"/>
                <w:spacing w:val="-2"/>
                <w:sz w:val="24"/>
                <w:szCs w:val="24"/>
                <w:highlight w:val="none"/>
                <w14:textFill>
                  <w14:solidFill>
                    <w14:schemeClr w14:val="tx1"/>
                  </w14:solidFill>
                </w14:textFill>
              </w:rPr>
            </w:pPr>
          </w:p>
        </w:tc>
        <w:tc>
          <w:tcPr>
            <w:tcW w:w="808" w:type="dxa"/>
            <w:vMerge w:val="continue"/>
            <w:vAlign w:val="center"/>
          </w:tcPr>
          <w:p w14:paraId="4EB6BCC8">
            <w:pPr>
              <w:pStyle w:val="11"/>
              <w:spacing w:before="136" w:line="199" w:lineRule="auto"/>
              <w:ind w:left="114"/>
              <w:jc w:val="center"/>
              <w:rPr>
                <w:b w:val="0"/>
                <w:bCs w:val="0"/>
                <w:color w:val="000000" w:themeColor="text1"/>
                <w:spacing w:val="-4"/>
                <w:sz w:val="24"/>
                <w:szCs w:val="24"/>
                <w:highlight w:val="none"/>
                <w14:textFill>
                  <w14:solidFill>
                    <w14:schemeClr w14:val="tx1"/>
                  </w14:solidFill>
                </w14:textFill>
              </w:rPr>
            </w:pPr>
          </w:p>
        </w:tc>
        <w:tc>
          <w:tcPr>
            <w:tcW w:w="900" w:type="dxa"/>
            <w:vMerge w:val="continue"/>
            <w:vAlign w:val="center"/>
          </w:tcPr>
          <w:p w14:paraId="102FAA76">
            <w:pPr>
              <w:pStyle w:val="11"/>
              <w:spacing w:before="117" w:line="216" w:lineRule="auto"/>
              <w:ind w:left="242"/>
              <w:jc w:val="center"/>
              <w:rPr>
                <w:b w:val="0"/>
                <w:bCs w:val="0"/>
                <w:color w:val="000000" w:themeColor="text1"/>
                <w:spacing w:val="-2"/>
                <w:sz w:val="24"/>
                <w:szCs w:val="24"/>
                <w:highlight w:val="none"/>
                <w14:textFill>
                  <w14:solidFill>
                    <w14:schemeClr w14:val="tx1"/>
                  </w14:solidFill>
                </w14:textFill>
              </w:rPr>
            </w:pPr>
          </w:p>
        </w:tc>
        <w:tc>
          <w:tcPr>
            <w:tcW w:w="889" w:type="dxa"/>
            <w:shd w:val="clear" w:color="auto" w:fill="auto"/>
            <w:vAlign w:val="center"/>
          </w:tcPr>
          <w:p w14:paraId="673AABA6">
            <w:pPr>
              <w:pStyle w:val="11"/>
              <w:keepNext w:val="0"/>
              <w:keepLines w:val="0"/>
              <w:pageBreakBefore w:val="0"/>
              <w:widowControl w:val="0"/>
              <w:kinsoku/>
              <w:wordWrap/>
              <w:overflowPunct/>
              <w:topLinePunct w:val="0"/>
              <w:autoSpaceDE/>
              <w:autoSpaceDN/>
              <w:bidi w:val="0"/>
              <w:adjustRightInd/>
              <w:snapToGrid/>
              <w:spacing w:line="219" w:lineRule="auto"/>
              <w:ind w:left="102"/>
              <w:jc w:val="center"/>
              <w:textAlignment w:val="auto"/>
              <w:rPr>
                <w:rFonts w:ascii="宋体" w:hAnsi="宋体" w:eastAsia="宋体" w:cs="宋体"/>
                <w:b w:val="0"/>
                <w:bCs w:val="0"/>
                <w:color w:val="000000" w:themeColor="text1"/>
                <w:kern w:val="2"/>
                <w:sz w:val="24"/>
                <w:szCs w:val="24"/>
                <w:highlight w:val="none"/>
                <w:lang w:val="en-US" w:eastAsia="en-US" w:bidi="ar-SA"/>
                <w14:textFill>
                  <w14:solidFill>
                    <w14:schemeClr w14:val="tx1"/>
                  </w14:solidFill>
                </w14:textFill>
              </w:rPr>
            </w:pPr>
            <w:r>
              <w:rPr>
                <w:b w:val="0"/>
                <w:bCs w:val="0"/>
                <w:color w:val="000000" w:themeColor="text1"/>
                <w:spacing w:val="3"/>
                <w:sz w:val="24"/>
                <w:szCs w:val="24"/>
                <w:highlight w:val="none"/>
                <w14:textFill>
                  <w14:solidFill>
                    <w14:schemeClr w14:val="tx1"/>
                  </w14:solidFill>
                </w14:textFill>
              </w:rPr>
              <w:t>文明施工</w:t>
            </w:r>
            <w:r>
              <w:rPr>
                <w:b w:val="0"/>
                <w:bCs w:val="0"/>
                <w:color w:val="000000" w:themeColor="text1"/>
                <w:spacing w:val="-3"/>
                <w:sz w:val="24"/>
                <w:szCs w:val="24"/>
                <w:highlight w:val="none"/>
                <w14:textFill>
                  <w14:solidFill>
                    <w14:schemeClr w14:val="tx1"/>
                  </w14:solidFill>
                </w14:textFill>
              </w:rPr>
              <w:t>措施</w:t>
            </w:r>
          </w:p>
        </w:tc>
        <w:tc>
          <w:tcPr>
            <w:tcW w:w="473" w:type="dxa"/>
            <w:shd w:val="clear" w:color="auto" w:fill="auto"/>
            <w:vAlign w:val="center"/>
          </w:tcPr>
          <w:p w14:paraId="44426D8A">
            <w:pPr>
              <w:pStyle w:val="11"/>
              <w:spacing w:before="71"/>
              <w:ind w:left="234" w:leftChars="0"/>
              <w:jc w:val="both"/>
              <w:rPr>
                <w:rFonts w:ascii="宋体" w:hAnsi="宋体" w:eastAsia="宋体" w:cs="宋体"/>
                <w:b w:val="0"/>
                <w:bCs w:val="0"/>
                <w:color w:val="000000" w:themeColor="text1"/>
                <w:kern w:val="2"/>
                <w:sz w:val="24"/>
                <w:szCs w:val="24"/>
                <w:highlight w:val="none"/>
                <w:lang w:val="en-US" w:eastAsia="en-US" w:bidi="ar-SA"/>
                <w14:textFill>
                  <w14:solidFill>
                    <w14:schemeClr w14:val="tx1"/>
                  </w14:solidFill>
                </w14:textFill>
              </w:rPr>
            </w:pPr>
            <w:r>
              <w:rPr>
                <w:b w:val="0"/>
                <w:bCs w:val="0"/>
                <w:color w:val="000000" w:themeColor="text1"/>
                <w:sz w:val="24"/>
                <w:szCs w:val="24"/>
                <w:highlight w:val="none"/>
                <w14:textFill>
                  <w14:solidFill>
                    <w14:schemeClr w14:val="tx1"/>
                  </w14:solidFill>
                </w14:textFill>
              </w:rPr>
              <w:t>5</w:t>
            </w:r>
          </w:p>
        </w:tc>
        <w:tc>
          <w:tcPr>
            <w:tcW w:w="5542" w:type="dxa"/>
            <w:shd w:val="clear" w:color="auto" w:fill="auto"/>
            <w:vAlign w:val="top"/>
          </w:tcPr>
          <w:p w14:paraId="3DA83A9E">
            <w:pPr>
              <w:pStyle w:val="11"/>
              <w:keepNext w:val="0"/>
              <w:keepLines w:val="0"/>
              <w:pageBreakBefore w:val="0"/>
              <w:widowControl w:val="0"/>
              <w:kinsoku/>
              <w:wordWrap/>
              <w:overflowPunct/>
              <w:topLinePunct w:val="0"/>
              <w:autoSpaceDE/>
              <w:autoSpaceDN/>
              <w:bidi w:val="0"/>
              <w:adjustRightInd/>
              <w:snapToGrid/>
              <w:spacing w:line="400" w:lineRule="exact"/>
              <w:ind w:left="0" w:leftChars="0" w:right="0" w:firstLine="428" w:firstLineChars="200"/>
              <w:jc w:val="both"/>
              <w:textAlignment w:val="auto"/>
              <w:rPr>
                <w:rFonts w:ascii="宋体" w:hAnsi="宋体" w:eastAsia="宋体" w:cs="宋体"/>
                <w:b w:val="0"/>
                <w:bCs w:val="0"/>
                <w:color w:val="000000" w:themeColor="text1"/>
                <w:kern w:val="2"/>
                <w:sz w:val="24"/>
                <w:szCs w:val="24"/>
                <w:highlight w:val="none"/>
                <w:lang w:val="en-US" w:eastAsia="en-US" w:bidi="ar-SA"/>
                <w14:textFill>
                  <w14:solidFill>
                    <w14:schemeClr w14:val="tx1"/>
                  </w14:solidFill>
                </w14:textFill>
              </w:rPr>
            </w:pPr>
            <w:r>
              <w:rPr>
                <w:b w:val="0"/>
                <w:bCs w:val="0"/>
                <w:color w:val="000000" w:themeColor="text1"/>
                <w:spacing w:val="-13"/>
                <w:sz w:val="24"/>
                <w:szCs w:val="24"/>
                <w:highlight w:val="none"/>
                <w14:textFill>
                  <w14:solidFill>
                    <w14:schemeClr w14:val="tx1"/>
                  </w14:solidFill>
                </w14:textFill>
              </w:rPr>
              <w:t>针对本项目的文明施工管理措施，表述基本齐全，</w:t>
            </w:r>
            <w:r>
              <w:rPr>
                <w:b w:val="0"/>
                <w:bCs w:val="0"/>
                <w:color w:val="000000" w:themeColor="text1"/>
                <w:spacing w:val="-3"/>
                <w:sz w:val="24"/>
                <w:szCs w:val="24"/>
                <w:highlight w:val="none"/>
                <w14:textFill>
                  <w14:solidFill>
                    <w14:schemeClr w14:val="tx1"/>
                  </w14:solidFill>
                </w14:textFill>
              </w:rPr>
              <w:t>内容全面并且合理可行的。本项最多得5分，最</w:t>
            </w:r>
            <w:r>
              <w:rPr>
                <w:b w:val="0"/>
                <w:bCs w:val="0"/>
                <w:color w:val="000000" w:themeColor="text1"/>
                <w:spacing w:val="-4"/>
                <w:sz w:val="24"/>
                <w:szCs w:val="24"/>
                <w:highlight w:val="none"/>
                <w14:textFill>
                  <w14:solidFill>
                    <w14:schemeClr w14:val="tx1"/>
                  </w14:solidFill>
                </w14:textFill>
              </w:rPr>
              <w:t>低得3分。</w:t>
            </w:r>
          </w:p>
        </w:tc>
      </w:tr>
      <w:tr w14:paraId="06241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4" w:hRule="atLeast"/>
        </w:trPr>
        <w:tc>
          <w:tcPr>
            <w:tcW w:w="678" w:type="dxa"/>
            <w:shd w:val="clear" w:color="auto" w:fill="auto"/>
            <w:vAlign w:val="center"/>
          </w:tcPr>
          <w:p w14:paraId="199D94CF">
            <w:pPr>
              <w:spacing w:line="250" w:lineRule="auto"/>
              <w:jc w:val="center"/>
              <w:rPr>
                <w:rFonts w:ascii="Arial"/>
                <w:color w:val="000000" w:themeColor="text1"/>
                <w:sz w:val="21"/>
                <w:highlight w:val="none"/>
                <w14:textFill>
                  <w14:solidFill>
                    <w14:schemeClr w14:val="tx1"/>
                  </w14:solidFill>
                </w14:textFill>
              </w:rPr>
            </w:pPr>
          </w:p>
          <w:p w14:paraId="77A68CC3">
            <w:pPr>
              <w:pStyle w:val="11"/>
              <w:spacing w:before="72" w:line="222" w:lineRule="auto"/>
              <w:ind w:left="25" w:leftChars="0"/>
              <w:jc w:val="center"/>
              <w:rPr>
                <w:color w:val="000000" w:themeColor="text1"/>
                <w:spacing w:val="-2"/>
                <w:highlight w:val="none"/>
                <w14:textFill>
                  <w14:solidFill>
                    <w14:schemeClr w14:val="tx1"/>
                  </w14:solidFill>
                </w14:textFill>
              </w:rPr>
            </w:pPr>
            <w:r>
              <w:rPr>
                <w:color w:val="000000" w:themeColor="text1"/>
                <w:spacing w:val="-2"/>
                <w:highlight w:val="none"/>
                <w14:textFill>
                  <w14:solidFill>
                    <w14:schemeClr w14:val="tx1"/>
                  </w14:solidFill>
                </w14:textFill>
              </w:rPr>
              <w:t>2.2.2</w:t>
            </w:r>
          </w:p>
          <w:p w14:paraId="518E7A19">
            <w:pPr>
              <w:pStyle w:val="11"/>
              <w:spacing w:before="72" w:line="222" w:lineRule="auto"/>
              <w:ind w:left="25" w:leftChars="0"/>
              <w:jc w:val="center"/>
              <w:rPr>
                <w:rFonts w:ascii="宋体" w:hAnsi="宋体" w:eastAsia="宋体" w:cs="宋体"/>
                <w:color w:val="000000" w:themeColor="text1"/>
                <w:kern w:val="2"/>
                <w:sz w:val="21"/>
                <w:szCs w:val="21"/>
                <w:highlight w:val="none"/>
                <w:lang w:val="en-US" w:eastAsia="en-US" w:bidi="ar-SA"/>
                <w14:textFill>
                  <w14:solidFill>
                    <w14:schemeClr w14:val="tx1"/>
                  </w14:solidFill>
                </w14:textFill>
              </w:rPr>
            </w:pPr>
            <w:r>
              <w:rPr>
                <w:color w:val="000000" w:themeColor="text1"/>
                <w:spacing w:val="-2"/>
                <w:highlight w:val="none"/>
                <w14:textFill>
                  <w14:solidFill>
                    <w14:schemeClr w14:val="tx1"/>
                  </w14:solidFill>
                </w14:textFill>
              </w:rPr>
              <w:t>(2)</w:t>
            </w:r>
          </w:p>
        </w:tc>
        <w:tc>
          <w:tcPr>
            <w:tcW w:w="808" w:type="dxa"/>
            <w:shd w:val="clear" w:color="auto" w:fill="auto"/>
            <w:vAlign w:val="center"/>
          </w:tcPr>
          <w:p w14:paraId="51D661B3">
            <w:pPr>
              <w:pStyle w:val="11"/>
              <w:spacing w:before="71" w:line="221" w:lineRule="auto"/>
              <w:ind w:left="91" w:leftChars="0"/>
              <w:jc w:val="center"/>
              <w:rPr>
                <w:rFonts w:ascii="宋体" w:hAnsi="宋体" w:eastAsia="宋体" w:cs="宋体"/>
                <w:b w:val="0"/>
                <w:bCs w:val="0"/>
                <w:color w:val="000000" w:themeColor="text1"/>
                <w:spacing w:val="3"/>
                <w:kern w:val="2"/>
                <w:sz w:val="24"/>
                <w:szCs w:val="24"/>
                <w:highlight w:val="none"/>
                <w:lang w:val="en-US" w:eastAsia="en-US" w:bidi="ar-SA"/>
                <w14:textFill>
                  <w14:solidFill>
                    <w14:schemeClr w14:val="tx1"/>
                  </w14:solidFill>
                </w14:textFill>
              </w:rPr>
            </w:pPr>
            <w:r>
              <w:rPr>
                <w:rFonts w:ascii="宋体" w:hAnsi="宋体" w:eastAsia="宋体" w:cs="宋体"/>
                <w:b w:val="0"/>
                <w:bCs w:val="0"/>
                <w:color w:val="000000" w:themeColor="text1"/>
                <w:spacing w:val="3"/>
                <w:kern w:val="2"/>
                <w:sz w:val="24"/>
                <w:szCs w:val="24"/>
                <w:highlight w:val="none"/>
                <w:lang w:val="en-US" w:eastAsia="en-US" w:bidi="ar-SA"/>
                <w14:textFill>
                  <w14:solidFill>
                    <w14:schemeClr w14:val="tx1"/>
                  </w14:solidFill>
                </w14:textFill>
              </w:rPr>
              <w:t>主要</w:t>
            </w:r>
          </w:p>
          <w:p w14:paraId="25BC3C87">
            <w:pPr>
              <w:pStyle w:val="11"/>
              <w:spacing w:before="71" w:line="221" w:lineRule="auto"/>
              <w:ind w:left="91" w:leftChars="0"/>
              <w:jc w:val="center"/>
              <w:rPr>
                <w:rFonts w:ascii="宋体" w:hAnsi="宋体" w:eastAsia="宋体" w:cs="宋体"/>
                <w:b w:val="0"/>
                <w:bCs w:val="0"/>
                <w:color w:val="000000" w:themeColor="text1"/>
                <w:spacing w:val="3"/>
                <w:kern w:val="2"/>
                <w:sz w:val="24"/>
                <w:szCs w:val="24"/>
                <w:highlight w:val="none"/>
                <w:lang w:val="en-US" w:eastAsia="en-US" w:bidi="ar-SA"/>
                <w14:textFill>
                  <w14:solidFill>
                    <w14:schemeClr w14:val="tx1"/>
                  </w14:solidFill>
                </w14:textFill>
              </w:rPr>
            </w:pPr>
            <w:r>
              <w:rPr>
                <w:rFonts w:ascii="宋体" w:hAnsi="宋体" w:eastAsia="宋体" w:cs="宋体"/>
                <w:b w:val="0"/>
                <w:bCs w:val="0"/>
                <w:color w:val="000000" w:themeColor="text1"/>
                <w:spacing w:val="3"/>
                <w:kern w:val="2"/>
                <w:sz w:val="24"/>
                <w:szCs w:val="24"/>
                <w:highlight w:val="none"/>
                <w:lang w:val="en-US" w:eastAsia="en-US" w:bidi="ar-SA"/>
                <w14:textFill>
                  <w14:solidFill>
                    <w14:schemeClr w14:val="tx1"/>
                  </w14:solidFill>
                </w14:textFill>
              </w:rPr>
              <w:t>人员</w:t>
            </w:r>
          </w:p>
        </w:tc>
        <w:tc>
          <w:tcPr>
            <w:tcW w:w="900" w:type="dxa"/>
            <w:shd w:val="clear" w:color="auto" w:fill="auto"/>
            <w:vAlign w:val="center"/>
          </w:tcPr>
          <w:p w14:paraId="0AF78028">
            <w:pPr>
              <w:pStyle w:val="11"/>
              <w:spacing w:before="72" w:line="220" w:lineRule="auto"/>
              <w:ind w:left="212" w:leftChars="0"/>
              <w:jc w:val="center"/>
              <w:rPr>
                <w:rFonts w:ascii="宋体" w:hAnsi="宋体" w:eastAsia="宋体" w:cs="宋体"/>
                <w:b w:val="0"/>
                <w:bCs w:val="0"/>
                <w:color w:val="000000" w:themeColor="text1"/>
                <w:spacing w:val="3"/>
                <w:kern w:val="2"/>
                <w:sz w:val="24"/>
                <w:szCs w:val="24"/>
                <w:highlight w:val="none"/>
                <w:lang w:val="en-US" w:eastAsia="en-US" w:bidi="ar-SA"/>
                <w14:textFill>
                  <w14:solidFill>
                    <w14:schemeClr w14:val="tx1"/>
                  </w14:solidFill>
                </w14:textFill>
              </w:rPr>
            </w:pPr>
            <w:r>
              <w:rPr>
                <w:rFonts w:ascii="宋体" w:hAnsi="宋体" w:eastAsia="宋体" w:cs="宋体"/>
                <w:b w:val="0"/>
                <w:bCs w:val="0"/>
                <w:color w:val="000000" w:themeColor="text1"/>
                <w:spacing w:val="3"/>
                <w:kern w:val="2"/>
                <w:sz w:val="24"/>
                <w:szCs w:val="24"/>
                <w:highlight w:val="none"/>
                <w:lang w:val="en-US" w:eastAsia="en-US" w:bidi="ar-SA"/>
                <w14:textFill>
                  <w14:solidFill>
                    <w14:schemeClr w14:val="tx1"/>
                  </w14:solidFill>
                </w14:textFill>
              </w:rPr>
              <w:t>25分</w:t>
            </w:r>
          </w:p>
        </w:tc>
        <w:tc>
          <w:tcPr>
            <w:tcW w:w="889" w:type="dxa"/>
            <w:shd w:val="clear" w:color="auto" w:fill="auto"/>
            <w:vAlign w:val="center"/>
          </w:tcPr>
          <w:p w14:paraId="3CCDF541">
            <w:pPr>
              <w:pStyle w:val="11"/>
              <w:spacing w:before="71" w:line="221" w:lineRule="auto"/>
              <w:ind w:left="103" w:leftChars="0"/>
              <w:jc w:val="center"/>
              <w:rPr>
                <w:rFonts w:ascii="宋体" w:hAnsi="宋体" w:eastAsia="宋体" w:cs="宋体"/>
                <w:b w:val="0"/>
                <w:bCs w:val="0"/>
                <w:color w:val="000000" w:themeColor="text1"/>
                <w:spacing w:val="3"/>
                <w:kern w:val="2"/>
                <w:sz w:val="24"/>
                <w:szCs w:val="24"/>
                <w:highlight w:val="none"/>
                <w:lang w:val="en-US" w:eastAsia="en-US" w:bidi="ar-SA"/>
                <w14:textFill>
                  <w14:solidFill>
                    <w14:schemeClr w14:val="tx1"/>
                  </w14:solidFill>
                </w14:textFill>
              </w:rPr>
            </w:pPr>
            <w:r>
              <w:rPr>
                <w:rFonts w:ascii="宋体" w:hAnsi="宋体" w:eastAsia="宋体" w:cs="宋体"/>
                <w:b w:val="0"/>
                <w:bCs w:val="0"/>
                <w:color w:val="000000" w:themeColor="text1"/>
                <w:spacing w:val="3"/>
                <w:kern w:val="2"/>
                <w:sz w:val="24"/>
                <w:szCs w:val="24"/>
                <w:highlight w:val="none"/>
                <w:lang w:val="en-US" w:eastAsia="en-US" w:bidi="ar-SA"/>
                <w14:textFill>
                  <w14:solidFill>
                    <w14:schemeClr w14:val="tx1"/>
                  </w14:solidFill>
                </w14:textFill>
              </w:rPr>
              <w:t>主要</w:t>
            </w:r>
          </w:p>
          <w:p w14:paraId="2B811A5F">
            <w:pPr>
              <w:pStyle w:val="11"/>
              <w:spacing w:before="71" w:line="221" w:lineRule="auto"/>
              <w:ind w:left="103" w:leftChars="0"/>
              <w:jc w:val="center"/>
              <w:rPr>
                <w:rFonts w:ascii="宋体" w:hAnsi="宋体" w:eastAsia="宋体" w:cs="宋体"/>
                <w:b w:val="0"/>
                <w:bCs w:val="0"/>
                <w:color w:val="000000" w:themeColor="text1"/>
                <w:spacing w:val="3"/>
                <w:kern w:val="2"/>
                <w:sz w:val="24"/>
                <w:szCs w:val="24"/>
                <w:highlight w:val="none"/>
                <w:lang w:val="en-US" w:eastAsia="en-US" w:bidi="ar-SA"/>
                <w14:textFill>
                  <w14:solidFill>
                    <w14:schemeClr w14:val="tx1"/>
                  </w14:solidFill>
                </w14:textFill>
              </w:rPr>
            </w:pPr>
            <w:r>
              <w:rPr>
                <w:rFonts w:ascii="宋体" w:hAnsi="宋体" w:eastAsia="宋体" w:cs="宋体"/>
                <w:b w:val="0"/>
                <w:bCs w:val="0"/>
                <w:color w:val="000000" w:themeColor="text1"/>
                <w:spacing w:val="3"/>
                <w:kern w:val="2"/>
                <w:sz w:val="24"/>
                <w:szCs w:val="24"/>
                <w:highlight w:val="none"/>
                <w:lang w:val="en-US" w:eastAsia="en-US" w:bidi="ar-SA"/>
                <w14:textFill>
                  <w14:solidFill>
                    <w14:schemeClr w14:val="tx1"/>
                  </w14:solidFill>
                </w14:textFill>
              </w:rPr>
              <w:t>人员</w:t>
            </w:r>
          </w:p>
        </w:tc>
        <w:tc>
          <w:tcPr>
            <w:tcW w:w="473" w:type="dxa"/>
            <w:shd w:val="clear" w:color="auto" w:fill="auto"/>
            <w:vAlign w:val="center"/>
          </w:tcPr>
          <w:p w14:paraId="5F54FA79">
            <w:pPr>
              <w:spacing w:line="252" w:lineRule="auto"/>
              <w:jc w:val="center"/>
              <w:rPr>
                <w:rFonts w:ascii="Arial"/>
                <w:color w:val="000000" w:themeColor="text1"/>
                <w:sz w:val="21"/>
                <w:highlight w:val="none"/>
                <w14:textFill>
                  <w14:solidFill>
                    <w14:schemeClr w14:val="tx1"/>
                  </w14:solidFill>
                </w14:textFill>
              </w:rPr>
            </w:pPr>
          </w:p>
          <w:p w14:paraId="0188E64A">
            <w:pPr>
              <w:pStyle w:val="11"/>
              <w:spacing w:before="72"/>
              <w:ind w:left="174" w:leftChars="0"/>
              <w:jc w:val="center"/>
              <w:rPr>
                <w:rFonts w:ascii="宋体" w:hAnsi="宋体" w:eastAsia="宋体" w:cs="宋体"/>
                <w:color w:val="000000" w:themeColor="text1"/>
                <w:kern w:val="2"/>
                <w:sz w:val="21"/>
                <w:szCs w:val="21"/>
                <w:highlight w:val="none"/>
                <w:lang w:val="en-US" w:eastAsia="en-US" w:bidi="ar-SA"/>
                <w14:textFill>
                  <w14:solidFill>
                    <w14:schemeClr w14:val="tx1"/>
                  </w14:solidFill>
                </w14:textFill>
              </w:rPr>
            </w:pPr>
            <w:r>
              <w:rPr>
                <w:color w:val="000000" w:themeColor="text1"/>
                <w:spacing w:val="-3"/>
                <w:highlight w:val="none"/>
                <w14:textFill>
                  <w14:solidFill>
                    <w14:schemeClr w14:val="tx1"/>
                  </w14:solidFill>
                </w14:textFill>
              </w:rPr>
              <w:t>25</w:t>
            </w:r>
          </w:p>
        </w:tc>
        <w:tc>
          <w:tcPr>
            <w:tcW w:w="5542" w:type="dxa"/>
            <w:shd w:val="clear" w:color="auto" w:fill="auto"/>
            <w:vAlign w:val="top"/>
          </w:tcPr>
          <w:p w14:paraId="7E10F6DD">
            <w:pPr>
              <w:pStyle w:val="11"/>
              <w:keepNext w:val="0"/>
              <w:keepLines w:val="0"/>
              <w:pageBreakBefore w:val="0"/>
              <w:widowControl w:val="0"/>
              <w:kinsoku/>
              <w:wordWrap/>
              <w:overflowPunct/>
              <w:topLinePunct w:val="0"/>
              <w:autoSpaceDE/>
              <w:autoSpaceDN/>
              <w:bidi w:val="0"/>
              <w:adjustRightInd/>
              <w:snapToGrid/>
              <w:spacing w:line="400" w:lineRule="exact"/>
              <w:ind w:left="0" w:right="0" w:firstLine="480" w:firstLineChars="200"/>
              <w:textAlignment w:val="auto"/>
              <w:rPr>
                <w:color w:val="000000" w:themeColor="text1"/>
                <w:spacing w:val="18"/>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(1)满足资格审查条件(最低要求)的，得基</w:t>
            </w:r>
            <w:r>
              <w:rPr>
                <w:color w:val="000000" w:themeColor="text1"/>
                <w:spacing w:val="18"/>
                <w:sz w:val="24"/>
                <w:szCs w:val="24"/>
                <w:highlight w:val="none"/>
                <w14:textFill>
                  <w14:solidFill>
                    <w14:schemeClr w14:val="tx1"/>
                  </w14:solidFill>
                </w14:textFill>
              </w:rPr>
              <w:t>本分23分；</w:t>
            </w:r>
          </w:p>
          <w:p w14:paraId="373AED09">
            <w:pPr>
              <w:pStyle w:val="11"/>
              <w:keepNext w:val="0"/>
              <w:keepLines w:val="0"/>
              <w:pageBreakBefore w:val="0"/>
              <w:widowControl w:val="0"/>
              <w:kinsoku/>
              <w:wordWrap/>
              <w:overflowPunct/>
              <w:topLinePunct w:val="0"/>
              <w:autoSpaceDE/>
              <w:autoSpaceDN/>
              <w:bidi w:val="0"/>
              <w:adjustRightInd/>
              <w:snapToGrid/>
              <w:spacing w:line="400" w:lineRule="exact"/>
              <w:ind w:left="0" w:right="0" w:firstLine="484" w:firstLineChars="200"/>
              <w:textAlignment w:val="auto"/>
              <w:rPr>
                <w:color w:val="000000" w:themeColor="text1"/>
                <w:spacing w:val="-1"/>
                <w:sz w:val="24"/>
                <w:szCs w:val="24"/>
                <w:highlight w:val="none"/>
                <w14:textFill>
                  <w14:solidFill>
                    <w14:schemeClr w14:val="tx1"/>
                  </w14:solidFill>
                </w14:textFill>
              </w:rPr>
            </w:pPr>
            <w:r>
              <w:rPr>
                <w:color w:val="000000" w:themeColor="text1"/>
                <w:spacing w:val="1"/>
                <w:sz w:val="24"/>
                <w:szCs w:val="24"/>
                <w:highlight w:val="none"/>
                <w14:textFill>
                  <w14:solidFill>
                    <w14:schemeClr w14:val="tx1"/>
                  </w14:solidFill>
                </w14:textFill>
              </w:rPr>
              <w:t>(2)主要人员近5年(任职时段截止日在20</w:t>
            </w:r>
            <w:r>
              <w:rPr>
                <w:color w:val="000000" w:themeColor="text1"/>
                <w:sz w:val="24"/>
                <w:szCs w:val="24"/>
                <w:highlight w:val="none"/>
                <w14:textFill>
                  <w14:solidFill>
                    <w14:schemeClr w14:val="tx1"/>
                  </w14:solidFill>
                </w14:textFill>
              </w:rPr>
              <w:t>21</w:t>
            </w:r>
            <w:r>
              <w:rPr>
                <w:color w:val="000000" w:themeColor="text1"/>
                <w:spacing w:val="-1"/>
                <w:sz w:val="24"/>
                <w:szCs w:val="24"/>
                <w:highlight w:val="none"/>
                <w14:textFill>
                  <w14:solidFill>
                    <w14:schemeClr w14:val="tx1"/>
                  </w14:solidFill>
                </w14:textFill>
              </w:rPr>
              <w:t>年4月1日至投标文件递交截止日之内)具有满足以下①或②项要求个人业绩的，加2分。</w:t>
            </w:r>
          </w:p>
          <w:p w14:paraId="59BB33B2">
            <w:pPr>
              <w:pStyle w:val="11"/>
              <w:keepNext w:val="0"/>
              <w:keepLines w:val="0"/>
              <w:pageBreakBefore w:val="0"/>
              <w:widowControl w:val="0"/>
              <w:kinsoku/>
              <w:wordWrap/>
              <w:overflowPunct/>
              <w:topLinePunct w:val="0"/>
              <w:autoSpaceDE/>
              <w:autoSpaceDN/>
              <w:bidi w:val="0"/>
              <w:adjustRightInd/>
              <w:snapToGrid/>
              <w:spacing w:line="400" w:lineRule="exact"/>
              <w:ind w:left="0" w:right="0" w:firstLine="460" w:firstLineChars="200"/>
              <w:textAlignment w:val="auto"/>
              <w:rPr>
                <w:color w:val="000000" w:themeColor="text1"/>
                <w:spacing w:val="2"/>
                <w:sz w:val="24"/>
                <w:szCs w:val="24"/>
                <w:highlight w:val="none"/>
                <w14:textFill>
                  <w14:solidFill>
                    <w14:schemeClr w14:val="tx1"/>
                  </w14:solidFill>
                </w14:textFill>
              </w:rPr>
            </w:pPr>
            <w:r>
              <w:rPr>
                <w:color w:val="000000" w:themeColor="text1"/>
                <w:spacing w:val="-5"/>
                <w:sz w:val="24"/>
                <w:szCs w:val="24"/>
                <w:highlight w:val="none"/>
                <w14:textFill>
                  <w14:solidFill>
                    <w14:schemeClr w14:val="tx1"/>
                  </w14:solidFill>
                </w14:textFill>
              </w:rPr>
              <w:t>①拟委任的项目经理担任过标段合同额不少于</w:t>
            </w:r>
            <w:r>
              <w:rPr>
                <w:rFonts w:hint="eastAsia"/>
                <w:color w:val="000000" w:themeColor="text1"/>
                <w:spacing w:val="2"/>
                <w:sz w:val="24"/>
                <w:szCs w:val="24"/>
                <w:highlight w:val="none"/>
                <w:lang w:val="en-US" w:eastAsia="zh-CN"/>
                <w14:textFill>
                  <w14:solidFill>
                    <w14:schemeClr w14:val="tx1"/>
                  </w14:solidFill>
                </w14:textFill>
              </w:rPr>
              <w:t>430</w:t>
            </w:r>
            <w:r>
              <w:rPr>
                <w:color w:val="000000" w:themeColor="text1"/>
                <w:spacing w:val="2"/>
                <w:sz w:val="24"/>
                <w:szCs w:val="24"/>
                <w:highlight w:val="none"/>
                <w14:textFill>
                  <w14:solidFill>
                    <w14:schemeClr w14:val="tx1"/>
                  </w14:solidFill>
                </w14:textFill>
              </w:rPr>
              <w:t>万元</w:t>
            </w:r>
            <w:r>
              <w:rPr>
                <w:color w:val="000000" w:themeColor="text1"/>
                <w:spacing w:val="2"/>
                <w:sz w:val="24"/>
                <w:szCs w:val="24"/>
                <w:highlight w:val="none"/>
                <w14:textFill>
                  <w14:solidFill>
                    <w14:schemeClr w14:val="tx1"/>
                  </w14:solidFill>
                </w14:textFill>
              </w:rPr>
              <w:t>的公路工程(含路面)施工的项目经理；</w:t>
            </w:r>
          </w:p>
          <w:p w14:paraId="3EA1817B">
            <w:pPr>
              <w:pStyle w:val="11"/>
              <w:keepNext w:val="0"/>
              <w:keepLines w:val="0"/>
              <w:pageBreakBefore w:val="0"/>
              <w:widowControl w:val="0"/>
              <w:kinsoku/>
              <w:wordWrap/>
              <w:overflowPunct/>
              <w:topLinePunct w:val="0"/>
              <w:autoSpaceDE/>
              <w:autoSpaceDN/>
              <w:bidi w:val="0"/>
              <w:adjustRightInd/>
              <w:snapToGrid/>
              <w:spacing w:line="400" w:lineRule="exact"/>
              <w:ind w:left="0" w:right="0" w:firstLine="468" w:firstLineChars="200"/>
              <w:textAlignment w:val="auto"/>
              <w:rPr>
                <w:color w:val="000000" w:themeColor="text1"/>
                <w:spacing w:val="-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②拟委任的项目总工担任过标段合同额不少于</w:t>
            </w:r>
            <w:r>
              <w:rPr>
                <w:rFonts w:hint="eastAsia"/>
                <w:color w:val="000000" w:themeColor="text1"/>
                <w:spacing w:val="2"/>
                <w:sz w:val="24"/>
                <w:szCs w:val="24"/>
                <w:highlight w:val="none"/>
                <w:lang w:val="en-US" w:eastAsia="zh-CN"/>
                <w14:textFill>
                  <w14:solidFill>
                    <w14:schemeClr w14:val="tx1"/>
                  </w14:solidFill>
                </w14:textFill>
              </w:rPr>
              <w:t>430</w:t>
            </w:r>
            <w:r>
              <w:rPr>
                <w:color w:val="000000" w:themeColor="text1"/>
                <w:spacing w:val="2"/>
                <w:sz w:val="24"/>
                <w:szCs w:val="24"/>
                <w:highlight w:val="none"/>
                <w14:textFill>
                  <w14:solidFill>
                    <w14:schemeClr w14:val="tx1"/>
                  </w14:solidFill>
                </w14:textFill>
              </w:rPr>
              <w:t>万元</w:t>
            </w:r>
            <w:r>
              <w:rPr>
                <w:color w:val="000000" w:themeColor="text1"/>
                <w:spacing w:val="-1"/>
                <w:sz w:val="24"/>
                <w:szCs w:val="24"/>
                <w:highlight w:val="none"/>
                <w14:textFill>
                  <w14:solidFill>
                    <w14:schemeClr w14:val="tx1"/>
                  </w14:solidFill>
                </w14:textFill>
              </w:rPr>
              <w:t>的公路工程(含路面)施工的项目总工。</w:t>
            </w:r>
          </w:p>
          <w:p w14:paraId="04F6467D">
            <w:pPr>
              <w:pStyle w:val="11"/>
              <w:keepNext w:val="0"/>
              <w:keepLines w:val="0"/>
              <w:pageBreakBefore w:val="0"/>
              <w:widowControl w:val="0"/>
              <w:kinsoku/>
              <w:wordWrap/>
              <w:overflowPunct/>
              <w:topLinePunct w:val="0"/>
              <w:autoSpaceDE/>
              <w:autoSpaceDN/>
              <w:bidi w:val="0"/>
              <w:adjustRightInd/>
              <w:snapToGrid/>
              <w:spacing w:line="400" w:lineRule="exact"/>
              <w:ind w:left="0" w:right="0" w:firstLine="472" w:firstLineChars="200"/>
              <w:textAlignment w:val="auto"/>
              <w:rPr>
                <w:rFonts w:ascii="宋体" w:hAnsi="宋体" w:eastAsia="宋体" w:cs="宋体"/>
                <w:color w:val="000000" w:themeColor="text1"/>
                <w:kern w:val="2"/>
                <w:sz w:val="24"/>
                <w:szCs w:val="24"/>
                <w:highlight w:val="none"/>
                <w:lang w:val="en-US" w:eastAsia="en-US" w:bidi="ar-SA"/>
                <w14:textFill>
                  <w14:solidFill>
                    <w14:schemeClr w14:val="tx1"/>
                  </w14:solidFill>
                </w14:textFill>
              </w:rPr>
            </w:pPr>
            <w:r>
              <w:rPr>
                <w:color w:val="000000" w:themeColor="text1"/>
                <w:spacing w:val="-2"/>
                <w:sz w:val="24"/>
                <w:szCs w:val="24"/>
                <w:highlight w:val="none"/>
                <w14:textFill>
                  <w14:solidFill>
                    <w14:schemeClr w14:val="tx1"/>
                  </w14:solidFill>
                </w14:textFill>
              </w:rPr>
              <w:t>注：证明材料以</w:t>
            </w:r>
            <w:r>
              <w:rPr>
                <w:rFonts w:hint="eastAsia"/>
                <w:color w:val="000000" w:themeColor="text1"/>
                <w:spacing w:val="-2"/>
                <w:sz w:val="24"/>
                <w:szCs w:val="24"/>
                <w:highlight w:val="none"/>
                <w:lang w:val="en-US" w:eastAsia="zh-CN"/>
                <w14:textFill>
                  <w14:solidFill>
                    <w14:schemeClr w14:val="tx1"/>
                  </w14:solidFill>
                </w14:textFill>
              </w:rPr>
              <w:t>评标办法</w:t>
            </w:r>
            <w:r>
              <w:rPr>
                <w:rFonts w:hint="eastAsia"/>
                <w:color w:val="000000" w:themeColor="text1"/>
                <w:spacing w:val="-2"/>
                <w:sz w:val="24"/>
                <w:szCs w:val="24"/>
                <w:highlight w:val="none"/>
                <w14:textFill>
                  <w14:solidFill>
                    <w14:schemeClr w14:val="tx1"/>
                  </w14:solidFill>
                </w14:textFill>
              </w:rPr>
              <w:t>需要补充的其他内容</w:t>
            </w:r>
            <w:r>
              <w:rPr>
                <w:rFonts w:hint="eastAsia"/>
                <w:color w:val="000000" w:themeColor="text1"/>
                <w:spacing w:val="-2"/>
                <w:sz w:val="24"/>
                <w:szCs w:val="24"/>
                <w:highlight w:val="none"/>
                <w:lang w:val="en-US" w:eastAsia="zh-CN"/>
                <w14:textFill>
                  <w14:solidFill>
                    <w14:schemeClr w14:val="tx1"/>
                  </w14:solidFill>
                </w14:textFill>
              </w:rPr>
              <w:t>条款号4</w:t>
            </w:r>
            <w:r>
              <w:rPr>
                <w:color w:val="000000" w:themeColor="text1"/>
                <w:spacing w:val="-8"/>
                <w:sz w:val="24"/>
                <w:szCs w:val="24"/>
                <w:highlight w:val="none"/>
                <w14:textFill>
                  <w14:solidFill>
                    <w14:schemeClr w14:val="tx1"/>
                  </w14:solidFill>
                </w14:textFill>
              </w:rPr>
              <w:t>规定为准。</w:t>
            </w:r>
          </w:p>
        </w:tc>
      </w:tr>
    </w:tbl>
    <w:p w14:paraId="338AAC62">
      <w:pPr>
        <w:rPr>
          <w:rFonts w:ascii="Arial"/>
          <w:b w:val="0"/>
          <w:bCs w:val="0"/>
          <w:color w:val="000000" w:themeColor="text1"/>
          <w:sz w:val="24"/>
          <w:szCs w:val="24"/>
          <w:highlight w:val="none"/>
          <w14:textFill>
            <w14:solidFill>
              <w14:schemeClr w14:val="tx1"/>
            </w14:solidFill>
          </w14:textFill>
        </w:rPr>
      </w:pPr>
    </w:p>
    <w:p w14:paraId="6C47DC29">
      <w:pPr>
        <w:rPr>
          <w:rFonts w:ascii="Arial" w:hAnsi="Arial" w:eastAsia="Arial" w:cs="Arial"/>
          <w:b w:val="0"/>
          <w:bCs w:val="0"/>
          <w:color w:val="000000" w:themeColor="text1"/>
          <w:sz w:val="24"/>
          <w:szCs w:val="24"/>
          <w:highlight w:val="none"/>
          <w14:textFill>
            <w14:solidFill>
              <w14:schemeClr w14:val="tx1"/>
            </w14:solidFill>
          </w14:textFill>
        </w:rPr>
        <w:sectPr>
          <w:headerReference r:id="rId4" w:type="default"/>
          <w:footerReference r:id="rId5" w:type="default"/>
          <w:pgSz w:w="11900" w:h="16840"/>
          <w:pgMar w:top="1206" w:right="1294" w:bottom="987" w:left="1304" w:header="852" w:footer="861" w:gutter="0"/>
          <w:pgBorders>
            <w:top w:val="none" w:sz="0" w:space="0"/>
            <w:left w:val="none" w:sz="0" w:space="0"/>
            <w:bottom w:val="none" w:sz="0" w:space="0"/>
            <w:right w:val="none" w:sz="0" w:space="0"/>
          </w:pgBorders>
          <w:cols w:space="720" w:num="1"/>
        </w:sectPr>
      </w:pPr>
    </w:p>
    <w:tbl>
      <w:tblPr>
        <w:tblStyle w:val="12"/>
        <w:tblW w:w="927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9"/>
        <w:gridCol w:w="466"/>
        <w:gridCol w:w="701"/>
        <w:gridCol w:w="883"/>
        <w:gridCol w:w="1960"/>
        <w:gridCol w:w="4652"/>
      </w:tblGrid>
      <w:tr w14:paraId="473DF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blHeader/>
        </w:trPr>
        <w:tc>
          <w:tcPr>
            <w:tcW w:w="4619" w:type="dxa"/>
            <w:gridSpan w:val="5"/>
            <w:vAlign w:val="top"/>
          </w:tcPr>
          <w:p w14:paraId="2A934E90">
            <w:pPr>
              <w:pStyle w:val="11"/>
              <w:spacing w:before="130" w:line="197" w:lineRule="auto"/>
              <w:ind w:left="1348"/>
              <w:rPr>
                <w:color w:val="000000" w:themeColor="text1"/>
                <w:highlight w:val="none"/>
                <w14:textFill>
                  <w14:solidFill>
                    <w14:schemeClr w14:val="tx1"/>
                  </w14:solidFill>
                </w14:textFill>
              </w:rPr>
            </w:pPr>
            <w:r>
              <w:rPr>
                <w:b/>
                <w:bCs/>
                <w:color w:val="000000" w:themeColor="text1"/>
                <w:spacing w:val="-4"/>
                <w:highlight w:val="none"/>
                <w14:textFill>
                  <w14:solidFill>
                    <w14:schemeClr w14:val="tx1"/>
                  </w14:solidFill>
                </w14:textFill>
              </w:rPr>
              <w:t>评分因素与权重分值</w:t>
            </w:r>
          </w:p>
        </w:tc>
        <w:tc>
          <w:tcPr>
            <w:tcW w:w="4652" w:type="dxa"/>
            <w:vMerge w:val="restart"/>
            <w:tcBorders>
              <w:bottom w:val="nil"/>
            </w:tcBorders>
            <w:vAlign w:val="top"/>
          </w:tcPr>
          <w:p w14:paraId="3352A269">
            <w:pPr>
              <w:spacing w:line="387" w:lineRule="auto"/>
              <w:rPr>
                <w:rFonts w:ascii="Arial"/>
                <w:color w:val="000000" w:themeColor="text1"/>
                <w:sz w:val="21"/>
                <w:highlight w:val="none"/>
                <w14:textFill>
                  <w14:solidFill>
                    <w14:schemeClr w14:val="tx1"/>
                  </w14:solidFill>
                </w14:textFill>
              </w:rPr>
            </w:pPr>
          </w:p>
          <w:p w14:paraId="58513F8D">
            <w:pPr>
              <w:pStyle w:val="11"/>
              <w:spacing w:before="72" w:line="220" w:lineRule="auto"/>
              <w:ind w:left="1909"/>
              <w:rPr>
                <w:color w:val="000000" w:themeColor="text1"/>
                <w:highlight w:val="none"/>
                <w14:textFill>
                  <w14:solidFill>
                    <w14:schemeClr w14:val="tx1"/>
                  </w14:solidFill>
                </w14:textFill>
              </w:rPr>
            </w:pPr>
            <w:r>
              <w:rPr>
                <w:b/>
                <w:bCs/>
                <w:color w:val="000000" w:themeColor="text1"/>
                <w:spacing w:val="-4"/>
                <w:highlight w:val="none"/>
                <w14:textFill>
                  <w14:solidFill>
                    <w14:schemeClr w14:val="tx1"/>
                  </w14:solidFill>
                </w14:textFill>
              </w:rPr>
              <w:t>评分标准</w:t>
            </w:r>
          </w:p>
        </w:tc>
      </w:tr>
      <w:tr w14:paraId="0A955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8" w:hRule="atLeast"/>
          <w:tblHeader/>
        </w:trPr>
        <w:tc>
          <w:tcPr>
            <w:tcW w:w="609" w:type="dxa"/>
            <w:vAlign w:val="center"/>
          </w:tcPr>
          <w:p w14:paraId="1EC77315">
            <w:pPr>
              <w:pStyle w:val="11"/>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color w:val="000000" w:themeColor="text1"/>
                <w:highlight w:val="none"/>
                <w14:textFill>
                  <w14:solidFill>
                    <w14:schemeClr w14:val="tx1"/>
                  </w14:solidFill>
                </w14:textFill>
              </w:rPr>
            </w:pPr>
            <w:r>
              <w:rPr>
                <w:b/>
                <w:bCs/>
                <w:color w:val="000000" w:themeColor="text1"/>
                <w:spacing w:val="-5"/>
                <w:highlight w:val="none"/>
                <w14:textFill>
                  <w14:solidFill>
                    <w14:schemeClr w14:val="tx1"/>
                  </w14:solidFill>
                </w14:textFill>
              </w:rPr>
              <w:t>条款号</w:t>
            </w:r>
          </w:p>
        </w:tc>
        <w:tc>
          <w:tcPr>
            <w:tcW w:w="1167" w:type="dxa"/>
            <w:gridSpan w:val="2"/>
            <w:vAlign w:val="center"/>
          </w:tcPr>
          <w:p w14:paraId="31D6D6F2">
            <w:pPr>
              <w:pStyle w:val="11"/>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color w:val="000000" w:themeColor="text1"/>
                <w:highlight w:val="none"/>
                <w14:textFill>
                  <w14:solidFill>
                    <w14:schemeClr w14:val="tx1"/>
                  </w14:solidFill>
                </w14:textFill>
              </w:rPr>
            </w:pPr>
            <w:r>
              <w:rPr>
                <w:b/>
                <w:bCs/>
                <w:color w:val="000000" w:themeColor="text1"/>
                <w:spacing w:val="-4"/>
                <w:highlight w:val="none"/>
                <w14:textFill>
                  <w14:solidFill>
                    <w14:schemeClr w14:val="tx1"/>
                  </w14:solidFill>
                </w14:textFill>
              </w:rPr>
              <w:t>评分因素</w:t>
            </w:r>
          </w:p>
        </w:tc>
        <w:tc>
          <w:tcPr>
            <w:tcW w:w="883" w:type="dxa"/>
            <w:vAlign w:val="center"/>
          </w:tcPr>
          <w:p w14:paraId="46B64CA0">
            <w:pPr>
              <w:pStyle w:val="11"/>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color w:val="000000" w:themeColor="text1"/>
                <w:highlight w:val="none"/>
                <w14:textFill>
                  <w14:solidFill>
                    <w14:schemeClr w14:val="tx1"/>
                  </w14:solidFill>
                </w14:textFill>
              </w:rPr>
            </w:pPr>
            <w:r>
              <w:rPr>
                <w:b/>
                <w:bCs/>
                <w:color w:val="000000" w:themeColor="text1"/>
                <w:spacing w:val="-4"/>
                <w:highlight w:val="none"/>
                <w14:textFill>
                  <w14:solidFill>
                    <w14:schemeClr w14:val="tx1"/>
                  </w14:solidFill>
                </w14:textFill>
              </w:rPr>
              <w:t>评分因素</w:t>
            </w:r>
          </w:p>
          <w:p w14:paraId="040F4A5A">
            <w:pPr>
              <w:pStyle w:val="11"/>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color w:val="000000" w:themeColor="text1"/>
                <w:highlight w:val="none"/>
                <w14:textFill>
                  <w14:solidFill>
                    <w14:schemeClr w14:val="tx1"/>
                  </w14:solidFill>
                </w14:textFill>
              </w:rPr>
            </w:pPr>
            <w:r>
              <w:rPr>
                <w:b/>
                <w:bCs/>
                <w:color w:val="000000" w:themeColor="text1"/>
                <w:spacing w:val="-4"/>
                <w:highlight w:val="none"/>
                <w14:textFill>
                  <w14:solidFill>
                    <w14:schemeClr w14:val="tx1"/>
                  </w14:solidFill>
                </w14:textFill>
              </w:rPr>
              <w:t>权重分值</w:t>
            </w:r>
          </w:p>
        </w:tc>
        <w:tc>
          <w:tcPr>
            <w:tcW w:w="1960" w:type="dxa"/>
            <w:vAlign w:val="center"/>
          </w:tcPr>
          <w:p w14:paraId="77372018">
            <w:pPr>
              <w:pStyle w:val="11"/>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b/>
                <w:bCs/>
                <w:color w:val="000000" w:themeColor="text1"/>
                <w:spacing w:val="1"/>
                <w:highlight w:val="none"/>
                <w14:textFill>
                  <w14:solidFill>
                    <w14:schemeClr w14:val="tx1"/>
                  </w14:solidFill>
                </w14:textFill>
              </w:rPr>
            </w:pPr>
            <w:r>
              <w:rPr>
                <w:b/>
                <w:bCs/>
                <w:color w:val="000000" w:themeColor="text1"/>
                <w:spacing w:val="1"/>
                <w:highlight w:val="none"/>
                <w14:textFill>
                  <w14:solidFill>
                    <w14:schemeClr w14:val="tx1"/>
                  </w14:solidFill>
                </w14:textFill>
              </w:rPr>
              <w:t>各评分因</w:t>
            </w:r>
          </w:p>
          <w:p w14:paraId="31BCA0F9">
            <w:pPr>
              <w:pStyle w:val="11"/>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color w:val="000000" w:themeColor="text1"/>
                <w:highlight w:val="none"/>
                <w14:textFill>
                  <w14:solidFill>
                    <w14:schemeClr w14:val="tx1"/>
                  </w14:solidFill>
                </w14:textFill>
              </w:rPr>
            </w:pPr>
            <w:r>
              <w:rPr>
                <w:b/>
                <w:bCs/>
                <w:color w:val="000000" w:themeColor="text1"/>
                <w:spacing w:val="-5"/>
                <w:highlight w:val="none"/>
                <w14:textFill>
                  <w14:solidFill>
                    <w14:schemeClr w14:val="tx1"/>
                  </w14:solidFill>
                </w14:textFill>
              </w:rPr>
              <w:t>素细分项</w:t>
            </w:r>
          </w:p>
        </w:tc>
        <w:tc>
          <w:tcPr>
            <w:tcW w:w="4652" w:type="dxa"/>
            <w:vMerge w:val="continue"/>
            <w:tcBorders>
              <w:top w:val="nil"/>
            </w:tcBorders>
            <w:vAlign w:val="top"/>
          </w:tcPr>
          <w:p w14:paraId="5840D62F">
            <w:pPr>
              <w:rPr>
                <w:rFonts w:ascii="Arial"/>
                <w:color w:val="000000" w:themeColor="text1"/>
                <w:sz w:val="21"/>
                <w:highlight w:val="none"/>
                <w14:textFill>
                  <w14:solidFill>
                    <w14:schemeClr w14:val="tx1"/>
                  </w14:solidFill>
                </w14:textFill>
              </w:rPr>
            </w:pPr>
          </w:p>
        </w:tc>
      </w:tr>
      <w:tr w14:paraId="37655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609" w:type="dxa"/>
            <w:vMerge w:val="restart"/>
            <w:tcBorders>
              <w:bottom w:val="nil"/>
            </w:tcBorders>
            <w:vAlign w:val="top"/>
          </w:tcPr>
          <w:p w14:paraId="701471FB">
            <w:pPr>
              <w:spacing w:line="249" w:lineRule="auto"/>
              <w:rPr>
                <w:rFonts w:ascii="Arial"/>
                <w:color w:val="000000" w:themeColor="text1"/>
                <w:sz w:val="24"/>
                <w:szCs w:val="24"/>
                <w:highlight w:val="none"/>
                <w14:textFill>
                  <w14:solidFill>
                    <w14:schemeClr w14:val="tx1"/>
                  </w14:solidFill>
                </w14:textFill>
              </w:rPr>
            </w:pPr>
          </w:p>
          <w:p w14:paraId="449DF8CC">
            <w:pPr>
              <w:spacing w:line="249" w:lineRule="auto"/>
              <w:rPr>
                <w:rFonts w:ascii="Arial"/>
                <w:color w:val="000000" w:themeColor="text1"/>
                <w:sz w:val="24"/>
                <w:szCs w:val="24"/>
                <w:highlight w:val="none"/>
                <w14:textFill>
                  <w14:solidFill>
                    <w14:schemeClr w14:val="tx1"/>
                  </w14:solidFill>
                </w14:textFill>
              </w:rPr>
            </w:pPr>
          </w:p>
          <w:p w14:paraId="57E037B0">
            <w:pPr>
              <w:spacing w:line="249" w:lineRule="auto"/>
              <w:rPr>
                <w:rFonts w:ascii="Arial"/>
                <w:color w:val="000000" w:themeColor="text1"/>
                <w:sz w:val="24"/>
                <w:szCs w:val="24"/>
                <w:highlight w:val="none"/>
                <w14:textFill>
                  <w14:solidFill>
                    <w14:schemeClr w14:val="tx1"/>
                  </w14:solidFill>
                </w14:textFill>
              </w:rPr>
            </w:pPr>
          </w:p>
          <w:p w14:paraId="24672296">
            <w:pPr>
              <w:spacing w:line="249" w:lineRule="auto"/>
              <w:rPr>
                <w:rFonts w:ascii="Arial"/>
                <w:color w:val="000000" w:themeColor="text1"/>
                <w:sz w:val="24"/>
                <w:szCs w:val="24"/>
                <w:highlight w:val="none"/>
                <w14:textFill>
                  <w14:solidFill>
                    <w14:schemeClr w14:val="tx1"/>
                  </w14:solidFill>
                </w14:textFill>
              </w:rPr>
            </w:pPr>
          </w:p>
          <w:p w14:paraId="0F08CDDA">
            <w:pPr>
              <w:spacing w:line="249" w:lineRule="auto"/>
              <w:rPr>
                <w:rFonts w:ascii="Arial"/>
                <w:color w:val="000000" w:themeColor="text1"/>
                <w:sz w:val="24"/>
                <w:szCs w:val="24"/>
                <w:highlight w:val="none"/>
                <w14:textFill>
                  <w14:solidFill>
                    <w14:schemeClr w14:val="tx1"/>
                  </w14:solidFill>
                </w14:textFill>
              </w:rPr>
            </w:pPr>
          </w:p>
          <w:p w14:paraId="2C4FDBA8">
            <w:pPr>
              <w:spacing w:line="249" w:lineRule="auto"/>
              <w:rPr>
                <w:rFonts w:ascii="Arial"/>
                <w:color w:val="000000" w:themeColor="text1"/>
                <w:sz w:val="24"/>
                <w:szCs w:val="24"/>
                <w:highlight w:val="none"/>
                <w14:textFill>
                  <w14:solidFill>
                    <w14:schemeClr w14:val="tx1"/>
                  </w14:solidFill>
                </w14:textFill>
              </w:rPr>
            </w:pPr>
          </w:p>
          <w:p w14:paraId="6D4B557B">
            <w:pPr>
              <w:spacing w:line="249" w:lineRule="auto"/>
              <w:rPr>
                <w:rFonts w:ascii="Arial"/>
                <w:color w:val="000000" w:themeColor="text1"/>
                <w:sz w:val="24"/>
                <w:szCs w:val="24"/>
                <w:highlight w:val="none"/>
                <w14:textFill>
                  <w14:solidFill>
                    <w14:schemeClr w14:val="tx1"/>
                  </w14:solidFill>
                </w14:textFill>
              </w:rPr>
            </w:pPr>
          </w:p>
          <w:p w14:paraId="5A8410CB">
            <w:pPr>
              <w:spacing w:line="249" w:lineRule="auto"/>
              <w:rPr>
                <w:rFonts w:ascii="Arial"/>
                <w:color w:val="000000" w:themeColor="text1"/>
                <w:sz w:val="24"/>
                <w:szCs w:val="24"/>
                <w:highlight w:val="none"/>
                <w14:textFill>
                  <w14:solidFill>
                    <w14:schemeClr w14:val="tx1"/>
                  </w14:solidFill>
                </w14:textFill>
              </w:rPr>
            </w:pPr>
          </w:p>
          <w:p w14:paraId="5148659A">
            <w:pPr>
              <w:spacing w:line="249" w:lineRule="auto"/>
              <w:rPr>
                <w:rFonts w:ascii="Arial"/>
                <w:color w:val="000000" w:themeColor="text1"/>
                <w:sz w:val="24"/>
                <w:szCs w:val="24"/>
                <w:highlight w:val="none"/>
                <w14:textFill>
                  <w14:solidFill>
                    <w14:schemeClr w14:val="tx1"/>
                  </w14:solidFill>
                </w14:textFill>
              </w:rPr>
            </w:pPr>
          </w:p>
          <w:p w14:paraId="77275386">
            <w:pPr>
              <w:spacing w:line="249" w:lineRule="auto"/>
              <w:rPr>
                <w:rFonts w:ascii="Arial"/>
                <w:color w:val="000000" w:themeColor="text1"/>
                <w:sz w:val="24"/>
                <w:szCs w:val="24"/>
                <w:highlight w:val="none"/>
                <w14:textFill>
                  <w14:solidFill>
                    <w14:schemeClr w14:val="tx1"/>
                  </w14:solidFill>
                </w14:textFill>
              </w:rPr>
            </w:pPr>
          </w:p>
          <w:p w14:paraId="0103E5FE">
            <w:pPr>
              <w:spacing w:line="249" w:lineRule="auto"/>
              <w:rPr>
                <w:rFonts w:ascii="Arial"/>
                <w:color w:val="000000" w:themeColor="text1"/>
                <w:sz w:val="24"/>
                <w:szCs w:val="24"/>
                <w:highlight w:val="none"/>
                <w14:textFill>
                  <w14:solidFill>
                    <w14:schemeClr w14:val="tx1"/>
                  </w14:solidFill>
                </w14:textFill>
              </w:rPr>
            </w:pPr>
          </w:p>
          <w:p w14:paraId="06C52D21">
            <w:pPr>
              <w:spacing w:line="249" w:lineRule="auto"/>
              <w:rPr>
                <w:rFonts w:ascii="Arial"/>
                <w:color w:val="000000" w:themeColor="text1"/>
                <w:sz w:val="24"/>
                <w:szCs w:val="24"/>
                <w:highlight w:val="none"/>
                <w14:textFill>
                  <w14:solidFill>
                    <w14:schemeClr w14:val="tx1"/>
                  </w14:solidFill>
                </w14:textFill>
              </w:rPr>
            </w:pPr>
          </w:p>
          <w:p w14:paraId="236A175C">
            <w:pPr>
              <w:spacing w:line="249" w:lineRule="auto"/>
              <w:rPr>
                <w:rFonts w:ascii="Arial"/>
                <w:color w:val="000000" w:themeColor="text1"/>
                <w:sz w:val="24"/>
                <w:szCs w:val="24"/>
                <w:highlight w:val="none"/>
                <w14:textFill>
                  <w14:solidFill>
                    <w14:schemeClr w14:val="tx1"/>
                  </w14:solidFill>
                </w14:textFill>
              </w:rPr>
            </w:pPr>
          </w:p>
          <w:p w14:paraId="11DF0D79">
            <w:pPr>
              <w:spacing w:line="249" w:lineRule="auto"/>
              <w:rPr>
                <w:rFonts w:ascii="Arial"/>
                <w:color w:val="000000" w:themeColor="text1"/>
                <w:sz w:val="24"/>
                <w:szCs w:val="24"/>
                <w:highlight w:val="none"/>
                <w14:textFill>
                  <w14:solidFill>
                    <w14:schemeClr w14:val="tx1"/>
                  </w14:solidFill>
                </w14:textFill>
              </w:rPr>
            </w:pPr>
          </w:p>
          <w:p w14:paraId="1A52269F">
            <w:pPr>
              <w:spacing w:line="249" w:lineRule="auto"/>
              <w:rPr>
                <w:rFonts w:ascii="Arial"/>
                <w:color w:val="000000" w:themeColor="text1"/>
                <w:sz w:val="24"/>
                <w:szCs w:val="24"/>
                <w:highlight w:val="none"/>
                <w14:textFill>
                  <w14:solidFill>
                    <w14:schemeClr w14:val="tx1"/>
                  </w14:solidFill>
                </w14:textFill>
              </w:rPr>
            </w:pPr>
          </w:p>
          <w:p w14:paraId="3DF1BA6B">
            <w:pPr>
              <w:spacing w:line="250" w:lineRule="auto"/>
              <w:rPr>
                <w:rFonts w:ascii="Arial"/>
                <w:color w:val="000000" w:themeColor="text1"/>
                <w:sz w:val="24"/>
                <w:szCs w:val="24"/>
                <w:highlight w:val="none"/>
                <w14:textFill>
                  <w14:solidFill>
                    <w14:schemeClr w14:val="tx1"/>
                  </w14:solidFill>
                </w14:textFill>
              </w:rPr>
            </w:pPr>
          </w:p>
          <w:p w14:paraId="69B75847">
            <w:pPr>
              <w:spacing w:line="250" w:lineRule="auto"/>
              <w:rPr>
                <w:rFonts w:ascii="Arial"/>
                <w:color w:val="000000" w:themeColor="text1"/>
                <w:sz w:val="24"/>
                <w:szCs w:val="24"/>
                <w:highlight w:val="none"/>
                <w14:textFill>
                  <w14:solidFill>
                    <w14:schemeClr w14:val="tx1"/>
                  </w14:solidFill>
                </w14:textFill>
              </w:rPr>
            </w:pPr>
          </w:p>
          <w:p w14:paraId="19395BE7">
            <w:pPr>
              <w:spacing w:line="250" w:lineRule="auto"/>
              <w:rPr>
                <w:rFonts w:ascii="Arial"/>
                <w:color w:val="000000" w:themeColor="text1"/>
                <w:sz w:val="24"/>
                <w:szCs w:val="24"/>
                <w:highlight w:val="none"/>
                <w14:textFill>
                  <w14:solidFill>
                    <w14:schemeClr w14:val="tx1"/>
                  </w14:solidFill>
                </w14:textFill>
              </w:rPr>
            </w:pPr>
          </w:p>
          <w:p w14:paraId="176606E8">
            <w:pPr>
              <w:spacing w:line="250" w:lineRule="auto"/>
              <w:rPr>
                <w:rFonts w:ascii="Arial"/>
                <w:color w:val="000000" w:themeColor="text1"/>
                <w:sz w:val="24"/>
                <w:szCs w:val="24"/>
                <w:highlight w:val="none"/>
                <w14:textFill>
                  <w14:solidFill>
                    <w14:schemeClr w14:val="tx1"/>
                  </w14:solidFill>
                </w14:textFill>
              </w:rPr>
            </w:pPr>
          </w:p>
          <w:p w14:paraId="2CD725F6">
            <w:pPr>
              <w:spacing w:line="250" w:lineRule="auto"/>
              <w:rPr>
                <w:rFonts w:ascii="Arial"/>
                <w:color w:val="000000" w:themeColor="text1"/>
                <w:sz w:val="24"/>
                <w:szCs w:val="24"/>
                <w:highlight w:val="none"/>
                <w14:textFill>
                  <w14:solidFill>
                    <w14:schemeClr w14:val="tx1"/>
                  </w14:solidFill>
                </w14:textFill>
              </w:rPr>
            </w:pPr>
          </w:p>
          <w:p w14:paraId="201C94CD">
            <w:pPr>
              <w:spacing w:line="250" w:lineRule="auto"/>
              <w:rPr>
                <w:rFonts w:ascii="Arial"/>
                <w:color w:val="000000" w:themeColor="text1"/>
                <w:sz w:val="24"/>
                <w:szCs w:val="24"/>
                <w:highlight w:val="none"/>
                <w14:textFill>
                  <w14:solidFill>
                    <w14:schemeClr w14:val="tx1"/>
                  </w14:solidFill>
                </w14:textFill>
              </w:rPr>
            </w:pPr>
          </w:p>
          <w:p w14:paraId="4DEE63F5">
            <w:pPr>
              <w:spacing w:line="250" w:lineRule="auto"/>
              <w:rPr>
                <w:rFonts w:ascii="Arial"/>
                <w:color w:val="000000" w:themeColor="text1"/>
                <w:sz w:val="24"/>
                <w:szCs w:val="24"/>
                <w:highlight w:val="none"/>
                <w14:textFill>
                  <w14:solidFill>
                    <w14:schemeClr w14:val="tx1"/>
                  </w14:solidFill>
                </w14:textFill>
              </w:rPr>
            </w:pPr>
          </w:p>
          <w:p w14:paraId="372C3D5D">
            <w:pPr>
              <w:spacing w:line="250" w:lineRule="auto"/>
              <w:rPr>
                <w:rFonts w:ascii="Arial"/>
                <w:color w:val="000000" w:themeColor="text1"/>
                <w:sz w:val="24"/>
                <w:szCs w:val="24"/>
                <w:highlight w:val="none"/>
                <w14:textFill>
                  <w14:solidFill>
                    <w14:schemeClr w14:val="tx1"/>
                  </w14:solidFill>
                </w14:textFill>
              </w:rPr>
            </w:pPr>
          </w:p>
          <w:p w14:paraId="6C91BA03">
            <w:pPr>
              <w:spacing w:line="250" w:lineRule="auto"/>
              <w:rPr>
                <w:rFonts w:ascii="Arial"/>
                <w:color w:val="000000" w:themeColor="text1"/>
                <w:sz w:val="24"/>
                <w:szCs w:val="24"/>
                <w:highlight w:val="none"/>
                <w14:textFill>
                  <w14:solidFill>
                    <w14:schemeClr w14:val="tx1"/>
                  </w14:solidFill>
                </w14:textFill>
              </w:rPr>
            </w:pPr>
          </w:p>
          <w:p w14:paraId="1A090A5F">
            <w:pPr>
              <w:pStyle w:val="11"/>
              <w:spacing w:before="71" w:line="222" w:lineRule="auto"/>
              <w:ind w:left="35"/>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2.2.2(3)</w:t>
            </w:r>
          </w:p>
        </w:tc>
        <w:tc>
          <w:tcPr>
            <w:tcW w:w="466" w:type="dxa"/>
            <w:vMerge w:val="restart"/>
            <w:tcBorders>
              <w:bottom w:val="nil"/>
            </w:tcBorders>
            <w:textDirection w:val="tbRlV"/>
            <w:vAlign w:val="center"/>
          </w:tcPr>
          <w:p w14:paraId="05BB461C">
            <w:pPr>
              <w:pStyle w:val="11"/>
              <w:spacing w:before="110" w:line="289" w:lineRule="auto"/>
              <w:ind w:left="111" w:right="66" w:firstLine="29"/>
              <w:jc w:val="center"/>
              <w:rPr>
                <w:rFonts w:ascii="宋体" w:hAnsi="宋体" w:eastAsia="宋体" w:cs="宋体"/>
                <w:color w:val="000000" w:themeColor="text1"/>
                <w:spacing w:val="-5"/>
                <w:kern w:val="2"/>
                <w:sz w:val="24"/>
                <w:szCs w:val="24"/>
                <w:highlight w:val="none"/>
                <w:lang w:val="en-US" w:eastAsia="en-US" w:bidi="ar-SA"/>
                <w14:textFill>
                  <w14:solidFill>
                    <w14:schemeClr w14:val="tx1"/>
                  </w14:solidFill>
                </w14:textFill>
              </w:rPr>
            </w:pPr>
            <w:r>
              <w:rPr>
                <w:rFonts w:ascii="宋体" w:hAnsi="宋体" w:eastAsia="宋体" w:cs="宋体"/>
                <w:color w:val="000000" w:themeColor="text1"/>
                <w:spacing w:val="-5"/>
                <w:kern w:val="2"/>
                <w:sz w:val="24"/>
                <w:szCs w:val="24"/>
                <w:highlight w:val="none"/>
                <w:lang w:val="en-US" w:eastAsia="en-US" w:bidi="ar-SA"/>
                <w14:textFill>
                  <w14:solidFill>
                    <w14:schemeClr w14:val="tx1"/>
                  </w14:solidFill>
                </w14:textFill>
              </w:rPr>
              <w:t>其 他 因 素</w:t>
            </w:r>
          </w:p>
        </w:tc>
        <w:tc>
          <w:tcPr>
            <w:tcW w:w="701" w:type="dxa"/>
            <w:vAlign w:val="center"/>
          </w:tcPr>
          <w:p w14:paraId="47329FEF">
            <w:pPr>
              <w:pStyle w:val="11"/>
              <w:keepNext w:val="0"/>
              <w:keepLines w:val="0"/>
              <w:pageBreakBefore w:val="0"/>
              <w:widowControl w:val="0"/>
              <w:kinsoku/>
              <w:wordWrap/>
              <w:overflowPunct/>
              <w:topLinePunct w:val="0"/>
              <w:autoSpaceDE/>
              <w:autoSpaceDN/>
              <w:bidi w:val="0"/>
              <w:adjustRightInd/>
              <w:snapToGrid/>
              <w:spacing w:before="110" w:line="320" w:lineRule="exact"/>
              <w:ind w:left="113" w:right="68" w:firstLine="28"/>
              <w:jc w:val="center"/>
              <w:textAlignment w:val="auto"/>
              <w:rPr>
                <w:rFonts w:ascii="宋体" w:hAnsi="宋体" w:eastAsia="宋体" w:cs="宋体"/>
                <w:color w:val="000000" w:themeColor="text1"/>
                <w:spacing w:val="-5"/>
                <w:kern w:val="2"/>
                <w:sz w:val="24"/>
                <w:szCs w:val="24"/>
                <w:highlight w:val="none"/>
                <w:lang w:val="en-US" w:eastAsia="en-US" w:bidi="ar-SA"/>
                <w14:textFill>
                  <w14:solidFill>
                    <w14:schemeClr w14:val="tx1"/>
                  </w14:solidFill>
                </w14:textFill>
              </w:rPr>
            </w:pPr>
            <w:r>
              <w:rPr>
                <w:rFonts w:ascii="宋体" w:hAnsi="宋体" w:eastAsia="宋体" w:cs="宋体"/>
                <w:color w:val="000000" w:themeColor="text1"/>
                <w:spacing w:val="-5"/>
                <w:kern w:val="2"/>
                <w:sz w:val="24"/>
                <w:szCs w:val="24"/>
                <w:highlight w:val="none"/>
                <w:lang w:val="en-US" w:eastAsia="en-US" w:bidi="ar-SA"/>
                <w14:textFill>
                  <w14:solidFill>
                    <w14:schemeClr w14:val="tx1"/>
                  </w14:solidFill>
                </w14:textFill>
              </w:rPr>
              <w:t>技术 能力</w:t>
            </w:r>
          </w:p>
        </w:tc>
        <w:tc>
          <w:tcPr>
            <w:tcW w:w="883" w:type="dxa"/>
            <w:vAlign w:val="center"/>
          </w:tcPr>
          <w:p w14:paraId="3E5AAC40">
            <w:pPr>
              <w:pStyle w:val="11"/>
              <w:spacing w:before="71" w:line="220" w:lineRule="auto"/>
              <w:ind w:left="233"/>
              <w:jc w:val="center"/>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10分</w:t>
            </w:r>
          </w:p>
        </w:tc>
        <w:tc>
          <w:tcPr>
            <w:tcW w:w="6612" w:type="dxa"/>
            <w:gridSpan w:val="2"/>
            <w:vAlign w:val="top"/>
          </w:tcPr>
          <w:p w14:paraId="2D0FE423">
            <w:pPr>
              <w:pStyle w:val="11"/>
              <w:spacing w:before="300" w:line="219" w:lineRule="auto"/>
              <w:ind w:left="314"/>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满足资格审查条件(最低要求)得10分。</w:t>
            </w:r>
          </w:p>
        </w:tc>
      </w:tr>
      <w:tr w14:paraId="29550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3" w:hRule="atLeast"/>
        </w:trPr>
        <w:tc>
          <w:tcPr>
            <w:tcW w:w="609" w:type="dxa"/>
            <w:vMerge w:val="continue"/>
            <w:tcBorders>
              <w:top w:val="nil"/>
              <w:bottom w:val="nil"/>
            </w:tcBorders>
            <w:vAlign w:val="top"/>
          </w:tcPr>
          <w:p w14:paraId="662DA4A5">
            <w:pPr>
              <w:rPr>
                <w:rFonts w:ascii="Arial"/>
                <w:color w:val="000000" w:themeColor="text1"/>
                <w:sz w:val="24"/>
                <w:szCs w:val="24"/>
                <w:highlight w:val="none"/>
                <w14:textFill>
                  <w14:solidFill>
                    <w14:schemeClr w14:val="tx1"/>
                  </w14:solidFill>
                </w14:textFill>
              </w:rPr>
            </w:pPr>
          </w:p>
        </w:tc>
        <w:tc>
          <w:tcPr>
            <w:tcW w:w="466" w:type="dxa"/>
            <w:vMerge w:val="continue"/>
            <w:tcBorders>
              <w:top w:val="nil"/>
              <w:bottom w:val="nil"/>
            </w:tcBorders>
            <w:textDirection w:val="tbRlV"/>
            <w:vAlign w:val="center"/>
          </w:tcPr>
          <w:p w14:paraId="76A0E9AA">
            <w:pPr>
              <w:jc w:val="center"/>
              <w:rPr>
                <w:rFonts w:ascii="宋体" w:hAnsi="宋体" w:eastAsia="宋体" w:cs="宋体"/>
                <w:color w:val="000000" w:themeColor="text1"/>
                <w:spacing w:val="-5"/>
                <w:kern w:val="2"/>
                <w:sz w:val="24"/>
                <w:szCs w:val="24"/>
                <w:highlight w:val="none"/>
                <w:lang w:val="en-US" w:eastAsia="en-US" w:bidi="ar-SA"/>
                <w14:textFill>
                  <w14:solidFill>
                    <w14:schemeClr w14:val="tx1"/>
                  </w14:solidFill>
                </w14:textFill>
              </w:rPr>
            </w:pPr>
          </w:p>
        </w:tc>
        <w:tc>
          <w:tcPr>
            <w:tcW w:w="701" w:type="dxa"/>
            <w:vAlign w:val="center"/>
          </w:tcPr>
          <w:p w14:paraId="50ABE7BE">
            <w:pPr>
              <w:spacing w:line="251" w:lineRule="auto"/>
              <w:jc w:val="center"/>
              <w:rPr>
                <w:rFonts w:ascii="宋体" w:hAnsi="宋体" w:eastAsia="宋体" w:cs="宋体"/>
                <w:color w:val="000000" w:themeColor="text1"/>
                <w:spacing w:val="-5"/>
                <w:kern w:val="2"/>
                <w:sz w:val="24"/>
                <w:szCs w:val="24"/>
                <w:highlight w:val="none"/>
                <w:lang w:val="en-US" w:eastAsia="en-US" w:bidi="ar-SA"/>
                <w14:textFill>
                  <w14:solidFill>
                    <w14:schemeClr w14:val="tx1"/>
                  </w14:solidFill>
                </w14:textFill>
              </w:rPr>
            </w:pPr>
          </w:p>
          <w:p w14:paraId="451B8304">
            <w:pPr>
              <w:pStyle w:val="11"/>
              <w:spacing w:before="72" w:line="221" w:lineRule="auto"/>
              <w:ind w:left="102"/>
              <w:jc w:val="center"/>
              <w:rPr>
                <w:rFonts w:ascii="宋体" w:hAnsi="宋体" w:eastAsia="宋体" w:cs="宋体"/>
                <w:color w:val="000000" w:themeColor="text1"/>
                <w:spacing w:val="-5"/>
                <w:kern w:val="2"/>
                <w:sz w:val="24"/>
                <w:szCs w:val="24"/>
                <w:highlight w:val="none"/>
                <w:lang w:val="en-US" w:eastAsia="en-US" w:bidi="ar-SA"/>
                <w14:textFill>
                  <w14:solidFill>
                    <w14:schemeClr w14:val="tx1"/>
                  </w14:solidFill>
                </w14:textFill>
              </w:rPr>
            </w:pPr>
            <w:r>
              <w:rPr>
                <w:rFonts w:ascii="宋体" w:hAnsi="宋体" w:eastAsia="宋体" w:cs="宋体"/>
                <w:color w:val="000000" w:themeColor="text1"/>
                <w:spacing w:val="-5"/>
                <w:kern w:val="2"/>
                <w:sz w:val="24"/>
                <w:szCs w:val="24"/>
                <w:highlight w:val="none"/>
                <w:lang w:val="en-US" w:eastAsia="en-US" w:bidi="ar-SA"/>
                <w14:textFill>
                  <w14:solidFill>
                    <w14:schemeClr w14:val="tx1"/>
                  </w14:solidFill>
                </w14:textFill>
              </w:rPr>
              <w:t>履约</w:t>
            </w:r>
          </w:p>
          <w:p w14:paraId="5D71DAE0">
            <w:pPr>
              <w:pStyle w:val="11"/>
              <w:spacing w:before="122" w:line="219" w:lineRule="auto"/>
              <w:ind w:left="102"/>
              <w:jc w:val="center"/>
              <w:rPr>
                <w:rFonts w:ascii="宋体" w:hAnsi="宋体" w:eastAsia="宋体" w:cs="宋体"/>
                <w:color w:val="000000" w:themeColor="text1"/>
                <w:spacing w:val="-5"/>
                <w:kern w:val="2"/>
                <w:sz w:val="24"/>
                <w:szCs w:val="24"/>
                <w:highlight w:val="none"/>
                <w:lang w:val="en-US" w:eastAsia="en-US" w:bidi="ar-SA"/>
                <w14:textFill>
                  <w14:solidFill>
                    <w14:schemeClr w14:val="tx1"/>
                  </w14:solidFill>
                </w14:textFill>
              </w:rPr>
            </w:pPr>
            <w:r>
              <w:rPr>
                <w:rFonts w:ascii="宋体" w:hAnsi="宋体" w:eastAsia="宋体" w:cs="宋体"/>
                <w:color w:val="000000" w:themeColor="text1"/>
                <w:spacing w:val="-5"/>
                <w:kern w:val="2"/>
                <w:sz w:val="24"/>
                <w:szCs w:val="24"/>
                <w:highlight w:val="none"/>
                <w:lang w:val="en-US" w:eastAsia="en-US" w:bidi="ar-SA"/>
                <w14:textFill>
                  <w14:solidFill>
                    <w14:schemeClr w14:val="tx1"/>
                  </w14:solidFill>
                </w14:textFill>
              </w:rPr>
              <w:t>信誉</w:t>
            </w:r>
          </w:p>
        </w:tc>
        <w:tc>
          <w:tcPr>
            <w:tcW w:w="883" w:type="dxa"/>
            <w:vAlign w:val="top"/>
          </w:tcPr>
          <w:p w14:paraId="0F326338">
            <w:pPr>
              <w:spacing w:line="246" w:lineRule="auto"/>
              <w:rPr>
                <w:rFonts w:ascii="Arial"/>
                <w:color w:val="000000" w:themeColor="text1"/>
                <w:sz w:val="24"/>
                <w:szCs w:val="24"/>
                <w:highlight w:val="none"/>
                <w14:textFill>
                  <w14:solidFill>
                    <w14:schemeClr w14:val="tx1"/>
                  </w14:solidFill>
                </w14:textFill>
              </w:rPr>
            </w:pPr>
          </w:p>
          <w:p w14:paraId="305B7648">
            <w:pPr>
              <w:spacing w:line="246" w:lineRule="auto"/>
              <w:rPr>
                <w:rFonts w:ascii="Arial"/>
                <w:color w:val="000000" w:themeColor="text1"/>
                <w:sz w:val="24"/>
                <w:szCs w:val="24"/>
                <w:highlight w:val="none"/>
                <w14:textFill>
                  <w14:solidFill>
                    <w14:schemeClr w14:val="tx1"/>
                  </w14:solidFill>
                </w14:textFill>
              </w:rPr>
            </w:pPr>
          </w:p>
          <w:p w14:paraId="35E6DF20">
            <w:pPr>
              <w:spacing w:line="246" w:lineRule="auto"/>
              <w:rPr>
                <w:rFonts w:ascii="Arial"/>
                <w:color w:val="000000" w:themeColor="text1"/>
                <w:sz w:val="24"/>
                <w:szCs w:val="24"/>
                <w:highlight w:val="none"/>
                <w14:textFill>
                  <w14:solidFill>
                    <w14:schemeClr w14:val="tx1"/>
                  </w14:solidFill>
                </w14:textFill>
              </w:rPr>
            </w:pPr>
          </w:p>
          <w:p w14:paraId="5665C677">
            <w:pPr>
              <w:spacing w:line="246" w:lineRule="auto"/>
              <w:rPr>
                <w:rFonts w:ascii="Arial"/>
                <w:color w:val="000000" w:themeColor="text1"/>
                <w:sz w:val="24"/>
                <w:szCs w:val="24"/>
                <w:highlight w:val="none"/>
                <w14:textFill>
                  <w14:solidFill>
                    <w14:schemeClr w14:val="tx1"/>
                  </w14:solidFill>
                </w14:textFill>
              </w:rPr>
            </w:pPr>
          </w:p>
          <w:p w14:paraId="33B50319">
            <w:pPr>
              <w:spacing w:line="246" w:lineRule="auto"/>
              <w:rPr>
                <w:rFonts w:ascii="Arial"/>
                <w:color w:val="000000" w:themeColor="text1"/>
                <w:sz w:val="24"/>
                <w:szCs w:val="24"/>
                <w:highlight w:val="none"/>
                <w14:textFill>
                  <w14:solidFill>
                    <w14:schemeClr w14:val="tx1"/>
                  </w14:solidFill>
                </w14:textFill>
              </w:rPr>
            </w:pPr>
          </w:p>
          <w:p w14:paraId="2D8E5B09">
            <w:pPr>
              <w:spacing w:line="246" w:lineRule="auto"/>
              <w:rPr>
                <w:rFonts w:ascii="Arial"/>
                <w:color w:val="000000" w:themeColor="text1"/>
                <w:sz w:val="24"/>
                <w:szCs w:val="24"/>
                <w:highlight w:val="none"/>
                <w14:textFill>
                  <w14:solidFill>
                    <w14:schemeClr w14:val="tx1"/>
                  </w14:solidFill>
                </w14:textFill>
              </w:rPr>
            </w:pPr>
          </w:p>
          <w:p w14:paraId="2CF47250">
            <w:pPr>
              <w:spacing w:line="246" w:lineRule="auto"/>
              <w:rPr>
                <w:rFonts w:ascii="Arial"/>
                <w:color w:val="000000" w:themeColor="text1"/>
                <w:sz w:val="24"/>
                <w:szCs w:val="24"/>
                <w:highlight w:val="none"/>
                <w14:textFill>
                  <w14:solidFill>
                    <w14:schemeClr w14:val="tx1"/>
                  </w14:solidFill>
                </w14:textFill>
              </w:rPr>
            </w:pPr>
          </w:p>
          <w:p w14:paraId="1B5B3320">
            <w:pPr>
              <w:spacing w:line="246" w:lineRule="auto"/>
              <w:rPr>
                <w:rFonts w:ascii="Arial"/>
                <w:color w:val="000000" w:themeColor="text1"/>
                <w:sz w:val="24"/>
                <w:szCs w:val="24"/>
                <w:highlight w:val="none"/>
                <w14:textFill>
                  <w14:solidFill>
                    <w14:schemeClr w14:val="tx1"/>
                  </w14:solidFill>
                </w14:textFill>
              </w:rPr>
            </w:pPr>
          </w:p>
          <w:p w14:paraId="59630F35">
            <w:pPr>
              <w:spacing w:line="246" w:lineRule="auto"/>
              <w:rPr>
                <w:rFonts w:ascii="Arial"/>
                <w:color w:val="000000" w:themeColor="text1"/>
                <w:sz w:val="24"/>
                <w:szCs w:val="24"/>
                <w:highlight w:val="none"/>
                <w14:textFill>
                  <w14:solidFill>
                    <w14:schemeClr w14:val="tx1"/>
                  </w14:solidFill>
                </w14:textFill>
              </w:rPr>
            </w:pPr>
          </w:p>
          <w:p w14:paraId="27FE7338">
            <w:pPr>
              <w:spacing w:line="247" w:lineRule="auto"/>
              <w:rPr>
                <w:rFonts w:ascii="Arial"/>
                <w:color w:val="000000" w:themeColor="text1"/>
                <w:sz w:val="24"/>
                <w:szCs w:val="24"/>
                <w:highlight w:val="none"/>
                <w14:textFill>
                  <w14:solidFill>
                    <w14:schemeClr w14:val="tx1"/>
                  </w14:solidFill>
                </w14:textFill>
              </w:rPr>
            </w:pPr>
          </w:p>
          <w:p w14:paraId="045BB20A">
            <w:pPr>
              <w:spacing w:line="247" w:lineRule="auto"/>
              <w:rPr>
                <w:rFonts w:ascii="Arial"/>
                <w:color w:val="000000" w:themeColor="text1"/>
                <w:sz w:val="24"/>
                <w:szCs w:val="24"/>
                <w:highlight w:val="none"/>
                <w14:textFill>
                  <w14:solidFill>
                    <w14:schemeClr w14:val="tx1"/>
                  </w14:solidFill>
                </w14:textFill>
              </w:rPr>
            </w:pPr>
          </w:p>
          <w:p w14:paraId="47D66D3C">
            <w:pPr>
              <w:spacing w:line="247" w:lineRule="auto"/>
              <w:rPr>
                <w:rFonts w:ascii="Arial"/>
                <w:color w:val="000000" w:themeColor="text1"/>
                <w:sz w:val="24"/>
                <w:szCs w:val="24"/>
                <w:highlight w:val="none"/>
                <w14:textFill>
                  <w14:solidFill>
                    <w14:schemeClr w14:val="tx1"/>
                  </w14:solidFill>
                </w14:textFill>
              </w:rPr>
            </w:pPr>
          </w:p>
          <w:p w14:paraId="0F840351">
            <w:pPr>
              <w:spacing w:line="247" w:lineRule="auto"/>
              <w:rPr>
                <w:rFonts w:ascii="Arial"/>
                <w:color w:val="000000" w:themeColor="text1"/>
                <w:sz w:val="24"/>
                <w:szCs w:val="24"/>
                <w:highlight w:val="none"/>
                <w14:textFill>
                  <w14:solidFill>
                    <w14:schemeClr w14:val="tx1"/>
                  </w14:solidFill>
                </w14:textFill>
              </w:rPr>
            </w:pPr>
          </w:p>
          <w:p w14:paraId="53AD3733">
            <w:pPr>
              <w:spacing w:line="247" w:lineRule="auto"/>
              <w:rPr>
                <w:rFonts w:ascii="Arial"/>
                <w:color w:val="000000" w:themeColor="text1"/>
                <w:sz w:val="24"/>
                <w:szCs w:val="24"/>
                <w:highlight w:val="none"/>
                <w14:textFill>
                  <w14:solidFill>
                    <w14:schemeClr w14:val="tx1"/>
                  </w14:solidFill>
                </w14:textFill>
              </w:rPr>
            </w:pPr>
          </w:p>
          <w:p w14:paraId="79AD82BC">
            <w:pPr>
              <w:spacing w:line="247" w:lineRule="auto"/>
              <w:rPr>
                <w:rFonts w:ascii="Arial"/>
                <w:color w:val="000000" w:themeColor="text1"/>
                <w:sz w:val="24"/>
                <w:szCs w:val="24"/>
                <w:highlight w:val="none"/>
                <w14:textFill>
                  <w14:solidFill>
                    <w14:schemeClr w14:val="tx1"/>
                  </w14:solidFill>
                </w14:textFill>
              </w:rPr>
            </w:pPr>
          </w:p>
          <w:p w14:paraId="0715B85A">
            <w:pPr>
              <w:spacing w:line="247" w:lineRule="auto"/>
              <w:rPr>
                <w:rFonts w:ascii="Arial"/>
                <w:color w:val="000000" w:themeColor="text1"/>
                <w:sz w:val="24"/>
                <w:szCs w:val="24"/>
                <w:highlight w:val="none"/>
                <w14:textFill>
                  <w14:solidFill>
                    <w14:schemeClr w14:val="tx1"/>
                  </w14:solidFill>
                </w14:textFill>
              </w:rPr>
            </w:pPr>
          </w:p>
          <w:p w14:paraId="1EEB248E">
            <w:pPr>
              <w:spacing w:line="247" w:lineRule="auto"/>
              <w:rPr>
                <w:rFonts w:ascii="Arial"/>
                <w:color w:val="000000" w:themeColor="text1"/>
                <w:sz w:val="24"/>
                <w:szCs w:val="24"/>
                <w:highlight w:val="none"/>
                <w14:textFill>
                  <w14:solidFill>
                    <w14:schemeClr w14:val="tx1"/>
                  </w14:solidFill>
                </w14:textFill>
              </w:rPr>
            </w:pPr>
          </w:p>
          <w:p w14:paraId="707278C3">
            <w:pPr>
              <w:spacing w:line="247" w:lineRule="auto"/>
              <w:rPr>
                <w:rFonts w:ascii="Arial"/>
                <w:color w:val="000000" w:themeColor="text1"/>
                <w:sz w:val="24"/>
                <w:szCs w:val="24"/>
                <w:highlight w:val="none"/>
                <w14:textFill>
                  <w14:solidFill>
                    <w14:schemeClr w14:val="tx1"/>
                  </w14:solidFill>
                </w14:textFill>
              </w:rPr>
            </w:pPr>
          </w:p>
          <w:p w14:paraId="41DE1577">
            <w:pPr>
              <w:spacing w:line="247" w:lineRule="auto"/>
              <w:rPr>
                <w:rFonts w:ascii="Arial"/>
                <w:color w:val="000000" w:themeColor="text1"/>
                <w:sz w:val="24"/>
                <w:szCs w:val="24"/>
                <w:highlight w:val="none"/>
                <w14:textFill>
                  <w14:solidFill>
                    <w14:schemeClr w14:val="tx1"/>
                  </w14:solidFill>
                </w14:textFill>
              </w:rPr>
            </w:pPr>
          </w:p>
          <w:p w14:paraId="27706221">
            <w:pPr>
              <w:spacing w:line="247" w:lineRule="auto"/>
              <w:rPr>
                <w:rFonts w:ascii="Arial"/>
                <w:color w:val="000000" w:themeColor="text1"/>
                <w:sz w:val="24"/>
                <w:szCs w:val="24"/>
                <w:highlight w:val="none"/>
                <w14:textFill>
                  <w14:solidFill>
                    <w14:schemeClr w14:val="tx1"/>
                  </w14:solidFill>
                </w14:textFill>
              </w:rPr>
            </w:pPr>
          </w:p>
          <w:p w14:paraId="1214B746">
            <w:pPr>
              <w:spacing w:line="247" w:lineRule="auto"/>
              <w:rPr>
                <w:rFonts w:ascii="Arial"/>
                <w:color w:val="000000" w:themeColor="text1"/>
                <w:sz w:val="24"/>
                <w:szCs w:val="24"/>
                <w:highlight w:val="none"/>
                <w14:textFill>
                  <w14:solidFill>
                    <w14:schemeClr w14:val="tx1"/>
                  </w14:solidFill>
                </w14:textFill>
              </w:rPr>
            </w:pPr>
          </w:p>
          <w:p w14:paraId="66614D2E">
            <w:pPr>
              <w:pStyle w:val="11"/>
              <w:spacing w:before="71" w:line="220" w:lineRule="auto"/>
              <w:ind w:left="233"/>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20分</w:t>
            </w:r>
          </w:p>
        </w:tc>
        <w:tc>
          <w:tcPr>
            <w:tcW w:w="6612" w:type="dxa"/>
            <w:gridSpan w:val="2"/>
            <w:vAlign w:val="center"/>
          </w:tcPr>
          <w:p w14:paraId="08B1EB9D">
            <w:pPr>
              <w:pStyle w:val="11"/>
              <w:keepNext w:val="0"/>
              <w:keepLines w:val="0"/>
              <w:pageBreakBefore w:val="0"/>
              <w:widowControl w:val="0"/>
              <w:kinsoku/>
              <w:wordWrap/>
              <w:overflowPunct/>
              <w:topLinePunct w:val="0"/>
              <w:autoSpaceDE/>
              <w:autoSpaceDN/>
              <w:bidi w:val="0"/>
              <w:adjustRightInd/>
              <w:snapToGrid/>
              <w:spacing w:line="440" w:lineRule="exact"/>
              <w:ind w:left="0" w:right="0" w:firstLine="452" w:firstLineChars="200"/>
              <w:jc w:val="both"/>
              <w:textAlignment w:val="auto"/>
              <w:rPr>
                <w:color w:val="000000" w:themeColor="text1"/>
                <w:sz w:val="24"/>
                <w:szCs w:val="24"/>
                <w:highlight w:val="none"/>
                <w14:textFill>
                  <w14:solidFill>
                    <w14:schemeClr w14:val="tx1"/>
                  </w14:solidFill>
                </w14:textFill>
              </w:rPr>
            </w:pPr>
            <w:r>
              <w:rPr>
                <w:color w:val="000000" w:themeColor="text1"/>
                <w:spacing w:val="-7"/>
                <w:sz w:val="24"/>
                <w:szCs w:val="24"/>
                <w:highlight w:val="none"/>
                <w14:textFill>
                  <w14:solidFill>
                    <w14:schemeClr w14:val="tx1"/>
                  </w14:solidFill>
                </w14:textFill>
              </w:rPr>
              <w:t>根据</w:t>
            </w:r>
            <w:r>
              <w:rPr>
                <w:color w:val="000000" w:themeColor="text1"/>
                <w:spacing w:val="-6"/>
                <w:sz w:val="24"/>
                <w:szCs w:val="24"/>
                <w:highlight w:val="none"/>
                <w14:textFill>
                  <w14:solidFill>
                    <w14:schemeClr w14:val="tx1"/>
                  </w14:solidFill>
                </w14:textFill>
              </w:rPr>
              <w:t>投标人在最近年度公路市场施工企业信用评价结果等级</w:t>
            </w:r>
            <w:r>
              <w:rPr>
                <w:color w:val="000000" w:themeColor="text1"/>
                <w:spacing w:val="-7"/>
                <w:sz w:val="24"/>
                <w:szCs w:val="24"/>
                <w:highlight w:val="none"/>
                <w14:textFill>
                  <w14:solidFill>
                    <w14:schemeClr w14:val="tx1"/>
                  </w14:solidFill>
                </w14:textFill>
              </w:rPr>
              <w:t>：A</w:t>
            </w:r>
            <w:r>
              <w:rPr>
                <w:color w:val="000000" w:themeColor="text1"/>
                <w:spacing w:val="-5"/>
                <w:sz w:val="24"/>
                <w:szCs w:val="24"/>
                <w:highlight w:val="none"/>
                <w14:textFill>
                  <w14:solidFill>
                    <w14:schemeClr w14:val="tx1"/>
                  </w14:solidFill>
                </w14:textFill>
              </w:rPr>
              <w:t>A</w:t>
            </w:r>
            <w:r>
              <w:rPr>
                <w:color w:val="000000" w:themeColor="text1"/>
                <w:sz w:val="24"/>
                <w:szCs w:val="24"/>
                <w:highlight w:val="none"/>
                <w14:textFill>
                  <w14:solidFill>
                    <w14:schemeClr w14:val="tx1"/>
                  </w14:solidFill>
                </w14:textFill>
              </w:rPr>
              <w:t>级得20分、A级得18分、B级得15分、C级得10分、D级得0</w:t>
            </w:r>
            <w:r>
              <w:rPr>
                <w:color w:val="000000" w:themeColor="text1"/>
                <w:spacing w:val="-1"/>
                <w:sz w:val="24"/>
                <w:szCs w:val="24"/>
                <w:highlight w:val="none"/>
                <w14:textFill>
                  <w14:solidFill>
                    <w14:schemeClr w14:val="tx1"/>
                  </w14:solidFill>
                </w14:textFill>
              </w:rPr>
              <w:t>分。</w:t>
            </w:r>
          </w:p>
          <w:p w14:paraId="39A5DA36">
            <w:pPr>
              <w:pStyle w:val="11"/>
              <w:keepNext w:val="0"/>
              <w:keepLines w:val="0"/>
              <w:pageBreakBefore w:val="0"/>
              <w:widowControl w:val="0"/>
              <w:kinsoku/>
              <w:wordWrap/>
              <w:overflowPunct/>
              <w:topLinePunct w:val="0"/>
              <w:autoSpaceDE/>
              <w:autoSpaceDN/>
              <w:bidi w:val="0"/>
              <w:adjustRightInd/>
              <w:snapToGrid/>
              <w:spacing w:line="440" w:lineRule="exact"/>
              <w:ind w:left="0" w:right="0" w:firstLine="485" w:firstLineChars="204"/>
              <w:jc w:val="both"/>
              <w:textAlignment w:val="auto"/>
              <w:rPr>
                <w:color w:val="000000" w:themeColor="text1"/>
                <w:sz w:val="24"/>
                <w:szCs w:val="24"/>
                <w:highlight w:val="none"/>
                <w14:textFill>
                  <w14:solidFill>
                    <w14:schemeClr w14:val="tx1"/>
                  </w14:solidFill>
                </w14:textFill>
              </w:rPr>
            </w:pPr>
            <w:r>
              <w:rPr>
                <w:color w:val="000000" w:themeColor="text1"/>
                <w:spacing w:val="-1"/>
                <w:sz w:val="24"/>
                <w:szCs w:val="24"/>
                <w:highlight w:val="none"/>
                <w14:textFill>
                  <w14:solidFill>
                    <w14:schemeClr w14:val="tx1"/>
                  </w14:solidFill>
                </w14:textFill>
              </w:rPr>
              <w:t>注1.信用评价结果：以投标截止时间前，交通运输主管部门最</w:t>
            </w:r>
            <w:r>
              <w:rPr>
                <w:color w:val="000000" w:themeColor="text1"/>
                <w:sz w:val="24"/>
                <w:szCs w:val="24"/>
                <w:highlight w:val="none"/>
                <w14:textFill>
                  <w14:solidFill>
                    <w14:schemeClr w14:val="tx1"/>
                  </w14:solidFill>
                </w14:textFill>
              </w:rPr>
              <w:t>新发布的结果公告(非结果公示)为准。</w:t>
            </w:r>
          </w:p>
          <w:p w14:paraId="07113703">
            <w:pPr>
              <w:pStyle w:val="11"/>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注2.最近年度信用评价等级按以下顺序认定：</w:t>
            </w:r>
          </w:p>
          <w:p w14:paraId="705C9BC6">
            <w:pPr>
              <w:pStyle w:val="11"/>
              <w:keepNext w:val="0"/>
              <w:keepLines w:val="0"/>
              <w:pageBreakBefore w:val="0"/>
              <w:widowControl w:val="0"/>
              <w:kinsoku/>
              <w:wordWrap/>
              <w:overflowPunct/>
              <w:topLinePunct w:val="0"/>
              <w:autoSpaceDE/>
              <w:autoSpaceDN/>
              <w:bidi w:val="0"/>
              <w:adjustRightInd/>
              <w:snapToGrid/>
              <w:spacing w:line="440" w:lineRule="exact"/>
              <w:ind w:left="0" w:right="0" w:firstLine="339"/>
              <w:jc w:val="both"/>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(1)以《关于公布2024年度辽宁省公路设计、施工、监理企业</w:t>
            </w:r>
            <w:r>
              <w:rPr>
                <w:color w:val="000000" w:themeColor="text1"/>
                <w:spacing w:val="1"/>
                <w:sz w:val="24"/>
                <w:szCs w:val="24"/>
                <w:highlight w:val="none"/>
                <w14:textFill>
                  <w14:solidFill>
                    <w14:schemeClr w14:val="tx1"/>
                  </w14:solidFill>
                </w14:textFill>
              </w:rPr>
              <w:t>和监理人员信用评价结果的通告》(辽交公路〔2025〕149号)中</w:t>
            </w:r>
            <w:r>
              <w:rPr>
                <w:color w:val="000000" w:themeColor="text1"/>
                <w:spacing w:val="-6"/>
                <w:sz w:val="24"/>
                <w:szCs w:val="24"/>
                <w:highlight w:val="none"/>
                <w14:textFill>
                  <w14:solidFill>
                    <w14:schemeClr w14:val="tx1"/>
                  </w14:solidFill>
                </w14:textFill>
              </w:rPr>
              <w:t>的施工企业信用评价结果为准，如在投标截止时间前辽宁省交通运</w:t>
            </w:r>
            <w:r>
              <w:rPr>
                <w:color w:val="000000" w:themeColor="text1"/>
                <w:spacing w:val="4"/>
                <w:sz w:val="24"/>
                <w:szCs w:val="24"/>
                <w:highlight w:val="none"/>
                <w14:textFill>
                  <w14:solidFill>
                    <w14:schemeClr w14:val="tx1"/>
                  </w14:solidFill>
                </w14:textFill>
              </w:rPr>
              <w:t xml:space="preserve"> </w:t>
            </w:r>
            <w:r>
              <w:rPr>
                <w:color w:val="000000" w:themeColor="text1"/>
                <w:spacing w:val="-5"/>
                <w:sz w:val="24"/>
                <w:szCs w:val="24"/>
                <w:highlight w:val="none"/>
                <w14:textFill>
                  <w14:solidFill>
                    <w14:schemeClr w14:val="tx1"/>
                  </w14:solidFill>
                </w14:textFill>
              </w:rPr>
              <w:t>输厅发布了2025年度公路施工企业信用评价结果公告，则采用2025</w:t>
            </w:r>
            <w:r>
              <w:rPr>
                <w:color w:val="000000" w:themeColor="text1"/>
                <w:sz w:val="24"/>
                <w:szCs w:val="24"/>
                <w:highlight w:val="none"/>
                <w14:textFill>
                  <w14:solidFill>
                    <w14:schemeClr w14:val="tx1"/>
                  </w14:solidFill>
                </w14:textFill>
              </w:rPr>
              <w:t xml:space="preserve"> </w:t>
            </w:r>
            <w:r>
              <w:rPr>
                <w:color w:val="000000" w:themeColor="text1"/>
                <w:spacing w:val="11"/>
                <w:sz w:val="24"/>
                <w:szCs w:val="24"/>
                <w:highlight w:val="none"/>
                <w14:textFill>
                  <w14:solidFill>
                    <w14:schemeClr w14:val="tx1"/>
                  </w14:solidFill>
                </w14:textFill>
              </w:rPr>
              <w:t>年度信用评价结果；</w:t>
            </w:r>
          </w:p>
          <w:p w14:paraId="16742222">
            <w:pPr>
              <w:pStyle w:val="11"/>
              <w:keepNext w:val="0"/>
              <w:keepLines w:val="0"/>
              <w:pageBreakBefore w:val="0"/>
              <w:widowControl w:val="0"/>
              <w:kinsoku/>
              <w:wordWrap/>
              <w:overflowPunct/>
              <w:topLinePunct w:val="0"/>
              <w:autoSpaceDE/>
              <w:autoSpaceDN/>
              <w:bidi w:val="0"/>
              <w:adjustRightInd/>
              <w:snapToGrid/>
              <w:spacing w:line="440" w:lineRule="exact"/>
              <w:ind w:left="0" w:right="0" w:firstLine="319"/>
              <w:jc w:val="both"/>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(2)以《交通运输部关于公布2024年度公路建设市场全国综合信用评价结果的公告》(交通运输部公告202</w:t>
            </w:r>
            <w:r>
              <w:rPr>
                <w:color w:val="000000" w:themeColor="text1"/>
                <w:spacing w:val="-1"/>
                <w:sz w:val="24"/>
                <w:szCs w:val="24"/>
                <w:highlight w:val="none"/>
                <w14:textFill>
                  <w14:solidFill>
                    <w14:schemeClr w14:val="tx1"/>
                  </w14:solidFill>
                </w14:textFill>
              </w:rPr>
              <w:t>6年第14号)中的施</w:t>
            </w:r>
            <w:r>
              <w:rPr>
                <w:color w:val="000000" w:themeColor="text1"/>
                <w:spacing w:val="9"/>
                <w:sz w:val="24"/>
                <w:szCs w:val="24"/>
                <w:highlight w:val="none"/>
                <w14:textFill>
                  <w14:solidFill>
                    <w14:schemeClr w14:val="tx1"/>
                  </w14:solidFill>
                </w14:textFill>
              </w:rPr>
              <w:t>工企业信用评价结果为准；</w:t>
            </w:r>
          </w:p>
          <w:p w14:paraId="5CA5094D">
            <w:pPr>
              <w:pStyle w:val="11"/>
              <w:keepNext w:val="0"/>
              <w:keepLines w:val="0"/>
              <w:pageBreakBefore w:val="0"/>
              <w:widowControl w:val="0"/>
              <w:kinsoku/>
              <w:wordWrap/>
              <w:overflowPunct/>
              <w:topLinePunct w:val="0"/>
              <w:autoSpaceDE/>
              <w:autoSpaceDN/>
              <w:bidi w:val="0"/>
              <w:adjustRightInd/>
              <w:snapToGrid/>
              <w:spacing w:line="440" w:lineRule="exact"/>
              <w:ind w:left="0" w:right="0" w:firstLine="334"/>
              <w:jc w:val="both"/>
              <w:textAlignment w:val="auto"/>
              <w:rPr>
                <w:color w:val="000000" w:themeColor="text1"/>
                <w:sz w:val="24"/>
                <w:szCs w:val="24"/>
                <w:highlight w:val="none"/>
                <w14:textFill>
                  <w14:solidFill>
                    <w14:schemeClr w14:val="tx1"/>
                  </w14:solidFill>
                </w14:textFill>
              </w:rPr>
            </w:pPr>
            <w:r>
              <w:rPr>
                <w:color w:val="000000" w:themeColor="text1"/>
                <w:spacing w:val="-9"/>
                <w:sz w:val="24"/>
                <w:szCs w:val="24"/>
                <w:highlight w:val="none"/>
                <w14:textFill>
                  <w14:solidFill>
                    <w14:schemeClr w14:val="tx1"/>
                  </w14:solidFill>
                </w14:textFill>
              </w:rPr>
              <w:t>(3)按照企业注册地省级交通运输主管部门</w:t>
            </w:r>
            <w:r>
              <w:rPr>
                <w:color w:val="000000" w:themeColor="text1"/>
                <w:spacing w:val="-10"/>
                <w:sz w:val="24"/>
                <w:szCs w:val="24"/>
                <w:highlight w:val="none"/>
                <w14:textFill>
                  <w14:solidFill>
                    <w14:schemeClr w14:val="tx1"/>
                  </w14:solidFill>
                </w14:textFill>
              </w:rPr>
              <w:t>发布的最近年度公路</w:t>
            </w:r>
            <w:r>
              <w:rPr>
                <w:color w:val="000000" w:themeColor="text1"/>
                <w:spacing w:val="-9"/>
                <w:sz w:val="24"/>
                <w:szCs w:val="24"/>
                <w:highlight w:val="none"/>
                <w14:textFill>
                  <w14:solidFill>
                    <w14:schemeClr w14:val="tx1"/>
                  </w14:solidFill>
                </w14:textFill>
              </w:rPr>
              <w:t>施工企业信用评价等级认定，如其在最近年度企业注册</w:t>
            </w:r>
            <w:r>
              <w:rPr>
                <w:color w:val="000000" w:themeColor="text1"/>
                <w:spacing w:val="-10"/>
                <w:sz w:val="24"/>
                <w:szCs w:val="24"/>
                <w:highlight w:val="none"/>
                <w14:textFill>
                  <w14:solidFill>
                    <w14:schemeClr w14:val="tx1"/>
                  </w14:solidFill>
                </w14:textFill>
              </w:rPr>
              <w:t>地无信用评</w:t>
            </w:r>
            <w:r>
              <w:rPr>
                <w:color w:val="000000" w:themeColor="text1"/>
                <w:spacing w:val="-6"/>
                <w:sz w:val="24"/>
                <w:szCs w:val="24"/>
                <w:highlight w:val="none"/>
                <w14:textFill>
                  <w14:solidFill>
                    <w14:schemeClr w14:val="tx1"/>
                  </w14:solidFill>
                </w14:textFill>
              </w:rPr>
              <w:t>价结果，但根据交通运输部《公路施工企业信用评价规则(试行)》</w:t>
            </w:r>
            <w:r>
              <w:rPr>
                <w:color w:val="000000" w:themeColor="text1"/>
                <w:spacing w:val="14"/>
                <w:sz w:val="24"/>
                <w:szCs w:val="24"/>
                <w:highlight w:val="none"/>
                <w14:textFill>
                  <w14:solidFill>
                    <w14:schemeClr w14:val="tx1"/>
                  </w14:solidFill>
                </w14:textFill>
              </w:rPr>
              <w:t xml:space="preserve"> </w:t>
            </w:r>
            <w:r>
              <w:rPr>
                <w:color w:val="000000" w:themeColor="text1"/>
                <w:sz w:val="24"/>
                <w:szCs w:val="24"/>
                <w:highlight w:val="none"/>
                <w14:textFill>
                  <w14:solidFill>
                    <w14:schemeClr w14:val="tx1"/>
                  </w14:solidFill>
                </w14:textFill>
              </w:rPr>
              <w:t>(交公路规〔2021〕4号)第十九条以及企业注册地省级</w:t>
            </w:r>
            <w:r>
              <w:rPr>
                <w:color w:val="000000" w:themeColor="text1"/>
                <w:spacing w:val="-1"/>
                <w:sz w:val="24"/>
                <w:szCs w:val="24"/>
                <w:highlight w:val="none"/>
                <w14:textFill>
                  <w14:solidFill>
                    <w14:schemeClr w14:val="tx1"/>
                  </w14:solidFill>
                </w14:textFill>
              </w:rPr>
              <w:t>交通运输</w:t>
            </w:r>
            <w:r>
              <w:rPr>
                <w:color w:val="000000" w:themeColor="text1"/>
                <w:spacing w:val="-9"/>
                <w:sz w:val="24"/>
                <w:szCs w:val="24"/>
                <w:highlight w:val="none"/>
                <w14:textFill>
                  <w14:solidFill>
                    <w14:schemeClr w14:val="tx1"/>
                  </w14:solidFill>
                </w14:textFill>
              </w:rPr>
              <w:t>主管部门颁发的信用评价相关规定，其在最近年度的前</w:t>
            </w:r>
            <w:r>
              <w:rPr>
                <w:color w:val="000000" w:themeColor="text1"/>
                <w:spacing w:val="-10"/>
                <w:sz w:val="24"/>
                <w:szCs w:val="24"/>
                <w:highlight w:val="none"/>
                <w14:textFill>
                  <w14:solidFill>
                    <w14:schemeClr w14:val="tx1"/>
                  </w14:solidFill>
                </w14:textFill>
              </w:rPr>
              <w:t>一年度企业</w:t>
            </w:r>
            <w:r>
              <w:rPr>
                <w:color w:val="000000" w:themeColor="text1"/>
                <w:spacing w:val="-9"/>
                <w:sz w:val="24"/>
                <w:szCs w:val="24"/>
                <w:highlight w:val="none"/>
                <w14:textFill>
                  <w14:solidFill>
                    <w14:schemeClr w14:val="tx1"/>
                  </w14:solidFill>
                </w14:textFill>
              </w:rPr>
              <w:t>注册地信用评价结果延续有效的，按其在最近年度的前</w:t>
            </w:r>
            <w:r>
              <w:rPr>
                <w:color w:val="000000" w:themeColor="text1"/>
                <w:spacing w:val="-10"/>
                <w:sz w:val="24"/>
                <w:szCs w:val="24"/>
                <w:highlight w:val="none"/>
                <w14:textFill>
                  <w14:solidFill>
                    <w14:schemeClr w14:val="tx1"/>
                  </w14:solidFill>
                </w14:textFill>
              </w:rPr>
              <w:t>一年度企业</w:t>
            </w:r>
            <w:r>
              <w:rPr>
                <w:color w:val="000000" w:themeColor="text1"/>
                <w:spacing w:val="7"/>
                <w:sz w:val="24"/>
                <w:szCs w:val="24"/>
                <w:highlight w:val="none"/>
                <w14:textFill>
                  <w14:solidFill>
                    <w14:schemeClr w14:val="tx1"/>
                  </w14:solidFill>
                </w14:textFill>
              </w:rPr>
              <w:t>注册地评价结果认定；</w:t>
            </w:r>
          </w:p>
          <w:p w14:paraId="151C397D">
            <w:pPr>
              <w:pStyle w:val="11"/>
              <w:keepNext w:val="0"/>
              <w:keepLines w:val="0"/>
              <w:pageBreakBefore w:val="0"/>
              <w:widowControl w:val="0"/>
              <w:kinsoku/>
              <w:wordWrap/>
              <w:overflowPunct/>
              <w:topLinePunct w:val="0"/>
              <w:autoSpaceDE/>
              <w:autoSpaceDN/>
              <w:bidi w:val="0"/>
              <w:adjustRightInd/>
              <w:snapToGrid/>
              <w:spacing w:line="440" w:lineRule="exact"/>
              <w:ind w:left="0" w:right="0" w:firstLine="309"/>
              <w:jc w:val="both"/>
              <w:textAlignment w:val="auto"/>
              <w:rPr>
                <w:color w:val="000000" w:themeColor="text1"/>
                <w:sz w:val="24"/>
                <w:szCs w:val="24"/>
                <w:highlight w:val="none"/>
                <w14:textFill>
                  <w14:solidFill>
                    <w14:schemeClr w14:val="tx1"/>
                  </w14:solidFill>
                </w14:textFill>
              </w:rPr>
            </w:pPr>
            <w:r>
              <w:rPr>
                <w:color w:val="000000" w:themeColor="text1"/>
                <w:spacing w:val="-5"/>
                <w:sz w:val="24"/>
                <w:szCs w:val="24"/>
                <w:highlight w:val="none"/>
                <w14:textFill>
                  <w14:solidFill>
                    <w14:schemeClr w14:val="tx1"/>
                  </w14:solidFill>
                </w14:textFill>
              </w:rPr>
              <w:t>(4)根据“全国公路建设市场监督管理系</w:t>
            </w:r>
            <w:r>
              <w:rPr>
                <w:color w:val="000000" w:themeColor="text1"/>
                <w:spacing w:val="-6"/>
                <w:sz w:val="24"/>
                <w:szCs w:val="24"/>
                <w:highlight w:val="none"/>
                <w14:textFill>
                  <w14:solidFill>
                    <w14:schemeClr w14:val="tx1"/>
                  </w14:solidFill>
                </w14:textFill>
              </w:rPr>
              <w:t>统”查询结果，无不良</w:t>
            </w:r>
            <w:r>
              <w:rPr>
                <w:color w:val="000000" w:themeColor="text1"/>
                <w:sz w:val="24"/>
                <w:szCs w:val="24"/>
                <w:highlight w:val="none"/>
                <w14:textFill>
                  <w14:solidFill>
                    <w14:schemeClr w14:val="tx1"/>
                  </w14:solidFill>
                </w14:textFill>
              </w:rPr>
              <w:t>行为记录的按A级认定，有不良行为记录但超过三年(自然年)的</w:t>
            </w:r>
            <w:r>
              <w:rPr>
                <w:color w:val="000000" w:themeColor="text1"/>
                <w:spacing w:val="-1"/>
                <w:sz w:val="24"/>
                <w:szCs w:val="24"/>
                <w:highlight w:val="none"/>
                <w14:textFill>
                  <w14:solidFill>
                    <w14:schemeClr w14:val="tx1"/>
                  </w14:solidFill>
                </w14:textFill>
              </w:rPr>
              <w:t>按B级认定，三年内有不良行为记录的按C级认定。</w:t>
            </w:r>
          </w:p>
          <w:p w14:paraId="5233E007">
            <w:pPr>
              <w:pStyle w:val="11"/>
              <w:keepNext w:val="0"/>
              <w:keepLines w:val="0"/>
              <w:pageBreakBefore w:val="0"/>
              <w:widowControl w:val="0"/>
              <w:kinsoku/>
              <w:wordWrap/>
              <w:overflowPunct/>
              <w:topLinePunct w:val="0"/>
              <w:autoSpaceDE/>
              <w:autoSpaceDN/>
              <w:bidi w:val="0"/>
              <w:adjustRightInd/>
              <w:snapToGrid/>
              <w:spacing w:line="440" w:lineRule="exact"/>
              <w:ind w:left="0" w:right="0" w:firstLine="485" w:firstLineChars="204"/>
              <w:jc w:val="both"/>
              <w:textAlignment w:val="auto"/>
              <w:rPr>
                <w:color w:val="000000" w:themeColor="text1"/>
                <w:sz w:val="24"/>
                <w:szCs w:val="24"/>
                <w:highlight w:val="none"/>
                <w14:textFill>
                  <w14:solidFill>
                    <w14:schemeClr w14:val="tx1"/>
                  </w14:solidFill>
                </w14:textFill>
              </w:rPr>
            </w:pPr>
            <w:r>
              <w:rPr>
                <w:color w:val="000000" w:themeColor="text1"/>
                <w:spacing w:val="-1"/>
                <w:sz w:val="24"/>
                <w:szCs w:val="24"/>
                <w:highlight w:val="none"/>
                <w14:textFill>
                  <w14:solidFill>
                    <w14:schemeClr w14:val="tx1"/>
                  </w14:solidFill>
                </w14:textFill>
              </w:rPr>
              <w:t>注3.投标人无辽宁省公路工程施工企业信用评价等级，且无全</w:t>
            </w:r>
            <w:r>
              <w:rPr>
                <w:color w:val="000000" w:themeColor="text1"/>
                <w:spacing w:val="-6"/>
                <w:sz w:val="24"/>
                <w:szCs w:val="24"/>
                <w:highlight w:val="none"/>
                <w14:textFill>
                  <w14:solidFill>
                    <w14:schemeClr w14:val="tx1"/>
                  </w14:solidFill>
                </w14:textFill>
              </w:rPr>
              <w:t>国综合信用评价等级的，须按招标文件第九章“投标文件格式</w:t>
            </w:r>
            <w:r>
              <w:rPr>
                <w:color w:val="000000" w:themeColor="text1"/>
                <w:spacing w:val="-7"/>
                <w:sz w:val="24"/>
                <w:szCs w:val="24"/>
                <w:highlight w:val="none"/>
                <w14:textFill>
                  <w14:solidFill>
                    <w14:schemeClr w14:val="tx1"/>
                  </w14:solidFill>
                </w14:textFill>
              </w:rPr>
              <w:t>”的</w:t>
            </w:r>
            <w:r>
              <w:rPr>
                <w:color w:val="000000" w:themeColor="text1"/>
                <w:sz w:val="24"/>
                <w:szCs w:val="24"/>
                <w:highlight w:val="none"/>
                <w14:textFill>
                  <w14:solidFill>
                    <w14:schemeClr w14:val="tx1"/>
                  </w14:solidFill>
                </w14:textFill>
              </w:rPr>
              <w:t>要求提供信用评价结果信息表及其证明材料，否则本项得0</w:t>
            </w:r>
            <w:r>
              <w:rPr>
                <w:color w:val="000000" w:themeColor="text1"/>
                <w:spacing w:val="-1"/>
                <w:sz w:val="24"/>
                <w:szCs w:val="24"/>
                <w:highlight w:val="none"/>
                <w14:textFill>
                  <w14:solidFill>
                    <w14:schemeClr w14:val="tx1"/>
                  </w14:solidFill>
                </w14:textFill>
              </w:rPr>
              <w:t>分。</w:t>
            </w:r>
          </w:p>
        </w:tc>
      </w:tr>
      <w:tr w14:paraId="7F289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609" w:type="dxa"/>
            <w:vMerge w:val="continue"/>
            <w:tcBorders>
              <w:top w:val="nil"/>
            </w:tcBorders>
            <w:vAlign w:val="top"/>
          </w:tcPr>
          <w:p w14:paraId="00EAB854">
            <w:pPr>
              <w:rPr>
                <w:rFonts w:ascii="Arial"/>
                <w:color w:val="000000" w:themeColor="text1"/>
                <w:sz w:val="24"/>
                <w:szCs w:val="24"/>
                <w:highlight w:val="none"/>
                <w14:textFill>
                  <w14:solidFill>
                    <w14:schemeClr w14:val="tx1"/>
                  </w14:solidFill>
                </w14:textFill>
              </w:rPr>
            </w:pPr>
          </w:p>
        </w:tc>
        <w:tc>
          <w:tcPr>
            <w:tcW w:w="466" w:type="dxa"/>
            <w:vMerge w:val="continue"/>
            <w:tcBorders>
              <w:top w:val="nil"/>
            </w:tcBorders>
            <w:textDirection w:val="tbRlV"/>
            <w:vAlign w:val="top"/>
          </w:tcPr>
          <w:p w14:paraId="65723A9E">
            <w:pPr>
              <w:rPr>
                <w:rFonts w:ascii="Arial"/>
                <w:color w:val="000000" w:themeColor="text1"/>
                <w:sz w:val="24"/>
                <w:szCs w:val="24"/>
                <w:highlight w:val="none"/>
                <w14:textFill>
                  <w14:solidFill>
                    <w14:schemeClr w14:val="tx1"/>
                  </w14:solidFill>
                </w14:textFill>
              </w:rPr>
            </w:pPr>
          </w:p>
        </w:tc>
        <w:tc>
          <w:tcPr>
            <w:tcW w:w="701" w:type="dxa"/>
            <w:vAlign w:val="center"/>
          </w:tcPr>
          <w:p w14:paraId="2AB9BFC6">
            <w:pPr>
              <w:pStyle w:val="11"/>
              <w:spacing w:before="161" w:line="229" w:lineRule="auto"/>
              <w:ind w:left="141"/>
              <w:jc w:val="center"/>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企业</w:t>
            </w:r>
          </w:p>
          <w:p w14:paraId="2B413517">
            <w:pPr>
              <w:pStyle w:val="11"/>
              <w:spacing w:before="95" w:line="220" w:lineRule="auto"/>
              <w:ind w:left="141"/>
              <w:jc w:val="center"/>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业绩</w:t>
            </w:r>
          </w:p>
        </w:tc>
        <w:tc>
          <w:tcPr>
            <w:tcW w:w="883" w:type="dxa"/>
            <w:vAlign w:val="center"/>
          </w:tcPr>
          <w:p w14:paraId="425D4F61">
            <w:pPr>
              <w:spacing w:line="276" w:lineRule="auto"/>
              <w:jc w:val="center"/>
              <w:rPr>
                <w:rFonts w:ascii="Arial"/>
                <w:color w:val="000000" w:themeColor="text1"/>
                <w:sz w:val="24"/>
                <w:szCs w:val="24"/>
                <w:highlight w:val="none"/>
                <w14:textFill>
                  <w14:solidFill>
                    <w14:schemeClr w14:val="tx1"/>
                  </w14:solidFill>
                </w14:textFill>
              </w:rPr>
            </w:pPr>
          </w:p>
          <w:p w14:paraId="65359959">
            <w:pPr>
              <w:pStyle w:val="11"/>
              <w:spacing w:before="72" w:line="220" w:lineRule="auto"/>
              <w:ind w:left="233"/>
              <w:jc w:val="center"/>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20分</w:t>
            </w:r>
          </w:p>
        </w:tc>
        <w:tc>
          <w:tcPr>
            <w:tcW w:w="6612" w:type="dxa"/>
            <w:gridSpan w:val="2"/>
            <w:vAlign w:val="top"/>
          </w:tcPr>
          <w:p w14:paraId="0EE3A32F">
            <w:pPr>
              <w:pStyle w:val="11"/>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color w:val="000000" w:themeColor="text1"/>
                <w:spacing w:val="4"/>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(1)满足资格审查条件(最低要求)的，得基本分18分；</w:t>
            </w:r>
          </w:p>
          <w:p w14:paraId="3BBA049F">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(2)近5年(指交</w:t>
            </w:r>
            <w:r>
              <w:rPr>
                <w:color w:val="000000" w:themeColor="text1"/>
                <w:sz w:val="24"/>
                <w:szCs w:val="24"/>
                <w:highlight w:val="none"/>
                <w14:textFill>
                  <w14:solidFill>
                    <w14:schemeClr w14:val="tx1"/>
                  </w14:solidFill>
                </w14:textFill>
              </w:rPr>
              <w:t>工验收时间为2021年4月1日至投标文件递交截止日)内，完成过标段合同额不少于</w:t>
            </w:r>
            <w:r>
              <w:rPr>
                <w:rFonts w:hint="eastAsia"/>
                <w:color w:val="000000" w:themeColor="text1"/>
                <w:spacing w:val="2"/>
                <w:sz w:val="24"/>
                <w:szCs w:val="24"/>
                <w:highlight w:val="none"/>
                <w:lang w:val="en-US" w:eastAsia="zh-CN"/>
                <w14:textFill>
                  <w14:solidFill>
                    <w14:schemeClr w14:val="tx1"/>
                  </w14:solidFill>
                </w14:textFill>
              </w:rPr>
              <w:t>430</w:t>
            </w:r>
            <w:r>
              <w:rPr>
                <w:color w:val="000000" w:themeColor="text1"/>
                <w:spacing w:val="2"/>
                <w:sz w:val="24"/>
                <w:szCs w:val="24"/>
                <w:highlight w:val="none"/>
                <w14:textFill>
                  <w14:solidFill>
                    <w14:schemeClr w14:val="tx1"/>
                  </w14:solidFill>
                </w14:textFill>
              </w:rPr>
              <w:t>万元</w:t>
            </w:r>
            <w:r>
              <w:rPr>
                <w:color w:val="000000" w:themeColor="text1"/>
                <w:sz w:val="24"/>
                <w:szCs w:val="24"/>
                <w:highlight w:val="none"/>
                <w14:textFill>
                  <w14:solidFill>
                    <w14:schemeClr w14:val="tx1"/>
                  </w14:solidFill>
                </w14:textFill>
              </w:rPr>
              <w:t>的公路工程(含路面)施工业绩的，加2分。</w:t>
            </w:r>
          </w:p>
          <w:p w14:paraId="0B101BC6">
            <w:pPr>
              <w:pStyle w:val="11"/>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color w:val="000000" w:themeColor="text1"/>
                <w:spacing w:val="-1"/>
                <w:sz w:val="24"/>
                <w:szCs w:val="24"/>
                <w:highlight w:val="none"/>
                <w14:textFill>
                  <w14:solidFill>
                    <w14:schemeClr w14:val="tx1"/>
                  </w14:solidFill>
                </w14:textFill>
              </w:rPr>
            </w:pPr>
            <w:r>
              <w:rPr>
                <w:rFonts w:hint="eastAsia"/>
                <w:color w:val="000000" w:themeColor="text1"/>
                <w:spacing w:val="-1"/>
                <w:sz w:val="24"/>
                <w:szCs w:val="24"/>
                <w:highlight w:val="none"/>
                <w14:textFill>
                  <w14:solidFill>
                    <w14:schemeClr w14:val="tx1"/>
                  </w14:solidFill>
                </w14:textFill>
              </w:rPr>
              <w:t>注：1.投标人应在“辽宁省公共资源交易一张网电子化平台”交通工程交易系统主体信息库中 建立信用信息档案，通过电子投标文件制作系统生成“近年完成的类似项目情况表”。</w:t>
            </w:r>
          </w:p>
          <w:p w14:paraId="610A62FC">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color w:val="000000" w:themeColor="text1"/>
                <w:spacing w:val="-1"/>
                <w:sz w:val="24"/>
                <w:szCs w:val="24"/>
                <w:highlight w:val="none"/>
                <w14:textFill>
                  <w14:solidFill>
                    <w14:schemeClr w14:val="tx1"/>
                  </w14:solidFill>
                </w14:textFill>
              </w:rPr>
            </w:pPr>
            <w:r>
              <w:rPr>
                <w:rFonts w:hint="eastAsia"/>
                <w:color w:val="000000" w:themeColor="text1"/>
                <w:spacing w:val="-1"/>
                <w:sz w:val="24"/>
                <w:szCs w:val="24"/>
                <w:highlight w:val="none"/>
                <w14:textFill>
                  <w14:solidFill>
                    <w14:schemeClr w14:val="tx1"/>
                  </w14:solidFill>
                </w14:textFill>
              </w:rPr>
              <w:t>2.投标人应提供已录入“电子交易平台”主体信息库并通过审核的企业“业绩证明材料”且须体现企业业绩考核指标(交工验收时间、合同额、工程内容等),“业绩证明材料”应从“电子交易平台”主体信息库中选择并在投标文件中形成超链接。</w:t>
            </w:r>
          </w:p>
          <w:p w14:paraId="2DCB2BDF">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color w:val="000000" w:themeColor="text1"/>
                <w:spacing w:val="-1"/>
                <w:sz w:val="24"/>
                <w:szCs w:val="24"/>
                <w:highlight w:val="none"/>
                <w14:textFill>
                  <w14:solidFill>
                    <w14:schemeClr w14:val="tx1"/>
                  </w14:solidFill>
                </w14:textFill>
              </w:rPr>
            </w:pPr>
            <w:r>
              <w:rPr>
                <w:rFonts w:hint="eastAsia"/>
                <w:color w:val="000000" w:themeColor="text1"/>
                <w:spacing w:val="-1"/>
                <w:sz w:val="24"/>
                <w:szCs w:val="24"/>
                <w:highlight w:val="none"/>
                <w14:textFill>
                  <w14:solidFill>
                    <w14:schemeClr w14:val="tx1"/>
                  </w14:solidFill>
                </w14:textFill>
              </w:rPr>
              <w:t>投标人应仔细检查电子投标文件制作系统生成的资格审查资料各项表格中的信息及相关主体信息库超链接资料的完整性，且应能体现资格评审(或详细评审)中对资质、业绩、人员等各项指标的要求，否则评标委员会将视其资料完整情况决定是否通过初步评审(或是否参与详细评审)。除招标文件中另有规定外，招标人不再接受投标人在电子投标文件制作系统单独提交的相关证明材料作为替代或补充。</w:t>
            </w:r>
          </w:p>
        </w:tc>
      </w:tr>
    </w:tbl>
    <w:p w14:paraId="6B9F628D">
      <w:pPr>
        <w:rPr>
          <w:rFonts w:hint="default" w:ascii="Times New Roman" w:hAnsi="Times New Roman" w:eastAsia="黑体" w:cs="Times New Roman"/>
          <w:b w:val="0"/>
          <w:color w:val="000000" w:themeColor="text1"/>
          <w:sz w:val="28"/>
          <w:szCs w:val="28"/>
          <w:highlight w:val="none"/>
          <w14:textFill>
            <w14:solidFill>
              <w14:schemeClr w14:val="tx1"/>
            </w14:solidFill>
          </w14:textFill>
        </w:rPr>
      </w:pPr>
    </w:p>
    <w:tbl>
      <w:tblPr>
        <w:tblStyle w:val="12"/>
        <w:tblW w:w="928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4"/>
        <w:gridCol w:w="1079"/>
        <w:gridCol w:w="919"/>
        <w:gridCol w:w="1658"/>
        <w:gridCol w:w="4676"/>
      </w:tblGrid>
      <w:tr w14:paraId="48D1E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4610" w:type="dxa"/>
            <w:gridSpan w:val="4"/>
            <w:vAlign w:val="top"/>
          </w:tcPr>
          <w:p w14:paraId="0DF8EE7D">
            <w:pPr>
              <w:pStyle w:val="11"/>
              <w:spacing w:before="130" w:line="204" w:lineRule="auto"/>
              <w:ind w:left="1338"/>
              <w:rPr>
                <w:color w:val="000000" w:themeColor="text1"/>
                <w:highlight w:val="none"/>
                <w14:textFill>
                  <w14:solidFill>
                    <w14:schemeClr w14:val="tx1"/>
                  </w14:solidFill>
                </w14:textFill>
              </w:rPr>
            </w:pPr>
            <w:bookmarkStart w:id="9" w:name="bookmark181"/>
            <w:bookmarkEnd w:id="9"/>
            <w:r>
              <w:rPr>
                <w:b/>
                <w:bCs/>
                <w:color w:val="000000" w:themeColor="text1"/>
                <w:spacing w:val="-4"/>
                <w:highlight w:val="none"/>
                <w14:textFill>
                  <w14:solidFill>
                    <w14:schemeClr w14:val="tx1"/>
                  </w14:solidFill>
                </w14:textFill>
              </w:rPr>
              <w:t>评分因素与权重分值</w:t>
            </w:r>
          </w:p>
        </w:tc>
        <w:tc>
          <w:tcPr>
            <w:tcW w:w="4676" w:type="dxa"/>
            <w:vMerge w:val="restart"/>
            <w:tcBorders>
              <w:bottom w:val="nil"/>
            </w:tcBorders>
            <w:vAlign w:val="top"/>
          </w:tcPr>
          <w:p w14:paraId="4B2C355B">
            <w:pPr>
              <w:spacing w:line="387" w:lineRule="auto"/>
              <w:rPr>
                <w:rFonts w:ascii="Arial"/>
                <w:color w:val="000000" w:themeColor="text1"/>
                <w:sz w:val="21"/>
                <w:highlight w:val="none"/>
                <w14:textFill>
                  <w14:solidFill>
                    <w14:schemeClr w14:val="tx1"/>
                  </w14:solidFill>
                </w14:textFill>
              </w:rPr>
            </w:pPr>
          </w:p>
          <w:p w14:paraId="7AADB8A1">
            <w:pPr>
              <w:pStyle w:val="11"/>
              <w:spacing w:before="72" w:line="220" w:lineRule="auto"/>
              <w:ind w:left="1888"/>
              <w:rPr>
                <w:color w:val="000000" w:themeColor="text1"/>
                <w:highlight w:val="none"/>
                <w14:textFill>
                  <w14:solidFill>
                    <w14:schemeClr w14:val="tx1"/>
                  </w14:solidFill>
                </w14:textFill>
              </w:rPr>
            </w:pPr>
            <w:r>
              <w:rPr>
                <w:b/>
                <w:bCs/>
                <w:color w:val="000000" w:themeColor="text1"/>
                <w:spacing w:val="-4"/>
                <w:highlight w:val="none"/>
                <w14:textFill>
                  <w14:solidFill>
                    <w14:schemeClr w14:val="tx1"/>
                  </w14:solidFill>
                </w14:textFill>
              </w:rPr>
              <w:t>评分标准</w:t>
            </w:r>
          </w:p>
        </w:tc>
      </w:tr>
      <w:tr w14:paraId="7026E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8" w:hRule="atLeast"/>
        </w:trPr>
        <w:tc>
          <w:tcPr>
            <w:tcW w:w="954" w:type="dxa"/>
            <w:vAlign w:val="center"/>
          </w:tcPr>
          <w:p w14:paraId="50663DC5">
            <w:pPr>
              <w:pStyle w:val="11"/>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color w:val="000000" w:themeColor="text1"/>
                <w:highlight w:val="none"/>
                <w14:textFill>
                  <w14:solidFill>
                    <w14:schemeClr w14:val="tx1"/>
                  </w14:solidFill>
                </w14:textFill>
              </w:rPr>
            </w:pPr>
            <w:r>
              <w:rPr>
                <w:b/>
                <w:bCs/>
                <w:color w:val="000000" w:themeColor="text1"/>
                <w:spacing w:val="-5"/>
                <w:highlight w:val="none"/>
                <w14:textFill>
                  <w14:solidFill>
                    <w14:schemeClr w14:val="tx1"/>
                  </w14:solidFill>
                </w14:textFill>
              </w:rPr>
              <w:t>条款号</w:t>
            </w:r>
          </w:p>
        </w:tc>
        <w:tc>
          <w:tcPr>
            <w:tcW w:w="1079" w:type="dxa"/>
            <w:vAlign w:val="center"/>
          </w:tcPr>
          <w:p w14:paraId="607EF65D">
            <w:pPr>
              <w:pStyle w:val="11"/>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color w:val="000000" w:themeColor="text1"/>
                <w:highlight w:val="none"/>
                <w14:textFill>
                  <w14:solidFill>
                    <w14:schemeClr w14:val="tx1"/>
                  </w14:solidFill>
                </w14:textFill>
              </w:rPr>
            </w:pPr>
            <w:r>
              <w:rPr>
                <w:b/>
                <w:bCs/>
                <w:color w:val="000000" w:themeColor="text1"/>
                <w:spacing w:val="-4"/>
                <w:highlight w:val="none"/>
                <w14:textFill>
                  <w14:solidFill>
                    <w14:schemeClr w14:val="tx1"/>
                  </w14:solidFill>
                </w14:textFill>
              </w:rPr>
              <w:t>评分因素</w:t>
            </w:r>
          </w:p>
        </w:tc>
        <w:tc>
          <w:tcPr>
            <w:tcW w:w="919" w:type="dxa"/>
            <w:vAlign w:val="center"/>
          </w:tcPr>
          <w:p w14:paraId="6DC6FAAC">
            <w:pPr>
              <w:pStyle w:val="11"/>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color w:val="000000" w:themeColor="text1"/>
                <w:highlight w:val="none"/>
                <w14:textFill>
                  <w14:solidFill>
                    <w14:schemeClr w14:val="tx1"/>
                  </w14:solidFill>
                </w14:textFill>
              </w:rPr>
            </w:pPr>
            <w:r>
              <w:rPr>
                <w:b/>
                <w:bCs/>
                <w:color w:val="000000" w:themeColor="text1"/>
                <w:spacing w:val="-4"/>
                <w:highlight w:val="none"/>
                <w14:textFill>
                  <w14:solidFill>
                    <w14:schemeClr w14:val="tx1"/>
                  </w14:solidFill>
                </w14:textFill>
              </w:rPr>
              <w:t>评分因素</w:t>
            </w:r>
          </w:p>
          <w:p w14:paraId="1B52A650">
            <w:pPr>
              <w:pStyle w:val="11"/>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color w:val="000000" w:themeColor="text1"/>
                <w:highlight w:val="none"/>
                <w14:textFill>
                  <w14:solidFill>
                    <w14:schemeClr w14:val="tx1"/>
                  </w14:solidFill>
                </w14:textFill>
              </w:rPr>
            </w:pPr>
            <w:r>
              <w:rPr>
                <w:b/>
                <w:bCs/>
                <w:color w:val="000000" w:themeColor="text1"/>
                <w:spacing w:val="-4"/>
                <w:highlight w:val="none"/>
                <w14:textFill>
                  <w14:solidFill>
                    <w14:schemeClr w14:val="tx1"/>
                  </w14:solidFill>
                </w14:textFill>
              </w:rPr>
              <w:t>权重分值</w:t>
            </w:r>
          </w:p>
        </w:tc>
        <w:tc>
          <w:tcPr>
            <w:tcW w:w="1658" w:type="dxa"/>
            <w:vAlign w:val="center"/>
          </w:tcPr>
          <w:p w14:paraId="59EE9422">
            <w:pPr>
              <w:pStyle w:val="11"/>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b/>
                <w:bCs/>
                <w:color w:val="000000" w:themeColor="text1"/>
                <w:spacing w:val="1"/>
                <w:highlight w:val="none"/>
                <w14:textFill>
                  <w14:solidFill>
                    <w14:schemeClr w14:val="tx1"/>
                  </w14:solidFill>
                </w14:textFill>
              </w:rPr>
            </w:pPr>
            <w:r>
              <w:rPr>
                <w:b/>
                <w:bCs/>
                <w:color w:val="000000" w:themeColor="text1"/>
                <w:spacing w:val="1"/>
                <w:highlight w:val="none"/>
                <w14:textFill>
                  <w14:solidFill>
                    <w14:schemeClr w14:val="tx1"/>
                  </w14:solidFill>
                </w14:textFill>
              </w:rPr>
              <w:t>各评分因</w:t>
            </w:r>
          </w:p>
          <w:p w14:paraId="73A527E3">
            <w:pPr>
              <w:pStyle w:val="11"/>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color w:val="000000" w:themeColor="text1"/>
                <w:highlight w:val="none"/>
                <w14:textFill>
                  <w14:solidFill>
                    <w14:schemeClr w14:val="tx1"/>
                  </w14:solidFill>
                </w14:textFill>
              </w:rPr>
            </w:pPr>
            <w:r>
              <w:rPr>
                <w:b/>
                <w:bCs/>
                <w:color w:val="000000" w:themeColor="text1"/>
                <w:spacing w:val="-5"/>
                <w:highlight w:val="none"/>
                <w14:textFill>
                  <w14:solidFill>
                    <w14:schemeClr w14:val="tx1"/>
                  </w14:solidFill>
                </w14:textFill>
              </w:rPr>
              <w:t>素细分项</w:t>
            </w:r>
          </w:p>
        </w:tc>
        <w:tc>
          <w:tcPr>
            <w:tcW w:w="4676" w:type="dxa"/>
            <w:vMerge w:val="continue"/>
            <w:tcBorders>
              <w:top w:val="nil"/>
            </w:tcBorders>
            <w:vAlign w:val="top"/>
          </w:tcPr>
          <w:p w14:paraId="4953202E">
            <w:pPr>
              <w:rPr>
                <w:rFonts w:ascii="Arial"/>
                <w:color w:val="000000" w:themeColor="text1"/>
                <w:sz w:val="21"/>
                <w:highlight w:val="none"/>
                <w14:textFill>
                  <w14:solidFill>
                    <w14:schemeClr w14:val="tx1"/>
                  </w14:solidFill>
                </w14:textFill>
              </w:rPr>
            </w:pPr>
          </w:p>
        </w:tc>
      </w:tr>
      <w:tr w14:paraId="4B149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0" w:hRule="atLeast"/>
        </w:trPr>
        <w:tc>
          <w:tcPr>
            <w:tcW w:w="954" w:type="dxa"/>
            <w:vAlign w:val="top"/>
          </w:tcPr>
          <w:p w14:paraId="645CDE69">
            <w:pPr>
              <w:spacing w:line="274" w:lineRule="auto"/>
              <w:rPr>
                <w:rFonts w:ascii="Arial"/>
                <w:color w:val="000000" w:themeColor="text1"/>
                <w:sz w:val="21"/>
                <w:highlight w:val="none"/>
                <w14:textFill>
                  <w14:solidFill>
                    <w14:schemeClr w14:val="tx1"/>
                  </w14:solidFill>
                </w14:textFill>
              </w:rPr>
            </w:pPr>
          </w:p>
          <w:p w14:paraId="4A645D71">
            <w:pPr>
              <w:spacing w:line="274" w:lineRule="auto"/>
              <w:rPr>
                <w:rFonts w:ascii="Arial"/>
                <w:color w:val="000000" w:themeColor="text1"/>
                <w:sz w:val="21"/>
                <w:highlight w:val="none"/>
                <w14:textFill>
                  <w14:solidFill>
                    <w14:schemeClr w14:val="tx1"/>
                  </w14:solidFill>
                </w14:textFill>
              </w:rPr>
            </w:pPr>
          </w:p>
          <w:p w14:paraId="4232DB2F">
            <w:pPr>
              <w:spacing w:line="274" w:lineRule="auto"/>
              <w:rPr>
                <w:rFonts w:ascii="Arial"/>
                <w:color w:val="000000" w:themeColor="text1"/>
                <w:sz w:val="21"/>
                <w:highlight w:val="none"/>
                <w14:textFill>
                  <w14:solidFill>
                    <w14:schemeClr w14:val="tx1"/>
                  </w14:solidFill>
                </w14:textFill>
              </w:rPr>
            </w:pPr>
          </w:p>
          <w:p w14:paraId="65BD8178">
            <w:pPr>
              <w:spacing w:line="275" w:lineRule="auto"/>
              <w:rPr>
                <w:rFonts w:ascii="Arial"/>
                <w:color w:val="000000" w:themeColor="text1"/>
                <w:sz w:val="21"/>
                <w:highlight w:val="none"/>
                <w14:textFill>
                  <w14:solidFill>
                    <w14:schemeClr w14:val="tx1"/>
                  </w14:solidFill>
                </w14:textFill>
              </w:rPr>
            </w:pPr>
          </w:p>
          <w:p w14:paraId="79B30AD1">
            <w:pPr>
              <w:pStyle w:val="11"/>
              <w:spacing w:before="72" w:line="239" w:lineRule="auto"/>
              <w:ind w:left="195"/>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2.2.3</w:t>
            </w:r>
          </w:p>
        </w:tc>
        <w:tc>
          <w:tcPr>
            <w:tcW w:w="1079" w:type="dxa"/>
            <w:vAlign w:val="top"/>
          </w:tcPr>
          <w:p w14:paraId="53D65DAF">
            <w:pPr>
              <w:spacing w:line="268" w:lineRule="auto"/>
              <w:rPr>
                <w:rFonts w:ascii="Arial"/>
                <w:color w:val="000000" w:themeColor="text1"/>
                <w:sz w:val="21"/>
                <w:highlight w:val="none"/>
                <w14:textFill>
                  <w14:solidFill>
                    <w14:schemeClr w14:val="tx1"/>
                  </w14:solidFill>
                </w14:textFill>
              </w:rPr>
            </w:pPr>
          </w:p>
          <w:p w14:paraId="3A3C0E55">
            <w:pPr>
              <w:spacing w:line="268" w:lineRule="auto"/>
              <w:rPr>
                <w:rFonts w:ascii="Arial"/>
                <w:color w:val="000000" w:themeColor="text1"/>
                <w:sz w:val="21"/>
                <w:highlight w:val="none"/>
                <w14:textFill>
                  <w14:solidFill>
                    <w14:schemeClr w14:val="tx1"/>
                  </w14:solidFill>
                </w14:textFill>
              </w:rPr>
            </w:pPr>
          </w:p>
          <w:p w14:paraId="5A2EDA69">
            <w:pPr>
              <w:spacing w:line="269" w:lineRule="auto"/>
              <w:rPr>
                <w:rFonts w:ascii="Arial"/>
                <w:color w:val="000000" w:themeColor="text1"/>
                <w:sz w:val="21"/>
                <w:highlight w:val="none"/>
                <w14:textFill>
                  <w14:solidFill>
                    <w14:schemeClr w14:val="tx1"/>
                  </w14:solidFill>
                </w14:textFill>
              </w:rPr>
            </w:pPr>
          </w:p>
          <w:p w14:paraId="70512933">
            <w:pPr>
              <w:spacing w:line="269" w:lineRule="auto"/>
              <w:rPr>
                <w:rFonts w:ascii="Arial"/>
                <w:color w:val="000000" w:themeColor="text1"/>
                <w:sz w:val="21"/>
                <w:highlight w:val="none"/>
                <w14:textFill>
                  <w14:solidFill>
                    <w14:schemeClr w14:val="tx1"/>
                  </w14:solidFill>
                </w14:textFill>
              </w:rPr>
            </w:pPr>
          </w:p>
          <w:p w14:paraId="4977629F">
            <w:pPr>
              <w:pStyle w:val="11"/>
              <w:spacing w:before="71" w:line="218" w:lineRule="auto"/>
              <w:ind w:left="201"/>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评标价</w:t>
            </w:r>
          </w:p>
        </w:tc>
        <w:tc>
          <w:tcPr>
            <w:tcW w:w="919" w:type="dxa"/>
            <w:vAlign w:val="top"/>
          </w:tcPr>
          <w:p w14:paraId="77529A74">
            <w:pPr>
              <w:spacing w:line="269" w:lineRule="auto"/>
              <w:rPr>
                <w:rFonts w:ascii="Arial"/>
                <w:color w:val="000000" w:themeColor="text1"/>
                <w:sz w:val="21"/>
                <w:highlight w:val="none"/>
                <w14:textFill>
                  <w14:solidFill>
                    <w14:schemeClr w14:val="tx1"/>
                  </w14:solidFill>
                </w14:textFill>
              </w:rPr>
            </w:pPr>
          </w:p>
          <w:p w14:paraId="41F5D25B">
            <w:pPr>
              <w:spacing w:line="269" w:lineRule="auto"/>
              <w:rPr>
                <w:rFonts w:ascii="Arial"/>
                <w:color w:val="000000" w:themeColor="text1"/>
                <w:sz w:val="21"/>
                <w:highlight w:val="none"/>
                <w14:textFill>
                  <w14:solidFill>
                    <w14:schemeClr w14:val="tx1"/>
                  </w14:solidFill>
                </w14:textFill>
              </w:rPr>
            </w:pPr>
          </w:p>
          <w:p w14:paraId="5CCE19DD">
            <w:pPr>
              <w:spacing w:line="269" w:lineRule="auto"/>
              <w:rPr>
                <w:rFonts w:ascii="Arial"/>
                <w:color w:val="000000" w:themeColor="text1"/>
                <w:sz w:val="21"/>
                <w:highlight w:val="none"/>
                <w14:textFill>
                  <w14:solidFill>
                    <w14:schemeClr w14:val="tx1"/>
                  </w14:solidFill>
                </w14:textFill>
              </w:rPr>
            </w:pPr>
          </w:p>
          <w:p w14:paraId="577831B9">
            <w:pPr>
              <w:spacing w:line="269" w:lineRule="auto"/>
              <w:rPr>
                <w:rFonts w:ascii="Arial"/>
                <w:color w:val="000000" w:themeColor="text1"/>
                <w:sz w:val="21"/>
                <w:highlight w:val="none"/>
                <w14:textFill>
                  <w14:solidFill>
                    <w14:schemeClr w14:val="tx1"/>
                  </w14:solidFill>
                </w14:textFill>
              </w:rPr>
            </w:pPr>
          </w:p>
          <w:p w14:paraId="3CC37683">
            <w:pPr>
              <w:pStyle w:val="11"/>
              <w:spacing w:before="72" w:line="220" w:lineRule="auto"/>
              <w:ind w:left="172"/>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100分</w:t>
            </w:r>
          </w:p>
        </w:tc>
        <w:tc>
          <w:tcPr>
            <w:tcW w:w="6334" w:type="dxa"/>
            <w:gridSpan w:val="2"/>
            <w:vAlign w:val="top"/>
          </w:tcPr>
          <w:p w14:paraId="78359E54">
            <w:pPr>
              <w:pStyle w:val="11"/>
              <w:spacing w:before="172" w:line="218" w:lineRule="auto"/>
              <w:ind w:left="10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评标价得分(100分)按照下面规定计算：</w:t>
            </w:r>
          </w:p>
          <w:p w14:paraId="67940B34">
            <w:pPr>
              <w:pStyle w:val="11"/>
              <w:spacing w:before="169" w:line="357" w:lineRule="auto"/>
              <w:ind w:right="199" w:firstLine="420" w:firstLineChars="200"/>
              <w:rPr>
                <w:rFonts w:hint="eastAsia"/>
                <w:color w:val="000000" w:themeColor="text1"/>
                <w:spacing w:val="4"/>
                <w:highlight w:val="none"/>
                <w:lang w:eastAsia="zh-CN"/>
                <w14:textFill>
                  <w14:solidFill>
                    <w14:schemeClr w14:val="tx1"/>
                  </w14:solidFill>
                </w14:textFill>
              </w:rPr>
            </w:pPr>
            <w:r>
              <w:rPr>
                <w:color w:val="000000" w:themeColor="text1"/>
                <w:highlight w:val="none"/>
                <w14:textFill>
                  <w14:solidFill>
                    <w14:schemeClr w14:val="tx1"/>
                  </w14:solidFill>
                </w14:textFill>
              </w:rPr>
              <w:t>(1)如果投标人的评标价&gt;评标基准价，则评标价得分=100</w:t>
            </w:r>
            <w:r>
              <w:rPr>
                <w:color w:val="000000" w:themeColor="text1"/>
                <w:spacing w:val="4"/>
                <w:highlight w:val="none"/>
                <w14:textFill>
                  <w14:solidFill>
                    <w14:schemeClr w14:val="tx1"/>
                  </w14:solidFill>
                </w14:textFill>
              </w:rPr>
              <w:t>一偏差率×100×2</w:t>
            </w:r>
            <w:r>
              <w:rPr>
                <w:rFonts w:hint="eastAsia"/>
                <w:color w:val="000000" w:themeColor="text1"/>
                <w:spacing w:val="4"/>
                <w:highlight w:val="none"/>
                <w:lang w:eastAsia="zh-CN"/>
                <w14:textFill>
                  <w14:solidFill>
                    <w14:schemeClr w14:val="tx1"/>
                  </w14:solidFill>
                </w14:textFill>
              </w:rPr>
              <w:t>；</w:t>
            </w:r>
          </w:p>
          <w:p w14:paraId="2D01614E">
            <w:pPr>
              <w:pStyle w:val="11"/>
              <w:spacing w:before="169" w:line="357" w:lineRule="auto"/>
              <w:ind w:right="199"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(2)如果投标人的评标价≤评标基准价，则评标价得分=100+偏差率×100×1。</w:t>
            </w:r>
          </w:p>
          <w:p w14:paraId="45367741">
            <w:pPr>
              <w:pStyle w:val="11"/>
              <w:spacing w:line="199" w:lineRule="auto"/>
              <w:ind w:left="10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评标价得分保留七位小数，小数点后第八位“四舍五入</w:t>
            </w:r>
            <w:r>
              <w:rPr>
                <w:color w:val="000000" w:themeColor="text1"/>
                <w:spacing w:val="-1"/>
                <w:highlight w:val="none"/>
                <w14:textFill>
                  <w14:solidFill>
                    <w14:schemeClr w14:val="tx1"/>
                  </w14:solidFill>
                </w14:textFill>
              </w:rPr>
              <w:t>”。</w:t>
            </w:r>
          </w:p>
        </w:tc>
      </w:tr>
    </w:tbl>
    <w:p w14:paraId="358FA0B8">
      <w:pPr>
        <w:rPr>
          <w:rFonts w:hint="default" w:ascii="Times New Roman" w:hAnsi="Times New Roman" w:eastAsia="黑体" w:cs="Times New Roman"/>
          <w:b w:val="0"/>
          <w:color w:val="000000" w:themeColor="text1"/>
          <w:sz w:val="28"/>
          <w:szCs w:val="28"/>
          <w:highlight w:val="none"/>
          <w14:textFill>
            <w14:solidFill>
              <w14:schemeClr w14:val="tx1"/>
            </w14:solidFill>
          </w14:textFill>
        </w:rPr>
      </w:pPr>
    </w:p>
    <w:tbl>
      <w:tblPr>
        <w:tblStyle w:val="12"/>
        <w:tblW w:w="932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4"/>
        <w:gridCol w:w="8338"/>
      </w:tblGrid>
      <w:tr w14:paraId="3F991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322" w:type="dxa"/>
            <w:gridSpan w:val="2"/>
            <w:vAlign w:val="top"/>
          </w:tcPr>
          <w:p w14:paraId="7C452B5A">
            <w:pPr>
              <w:pStyle w:val="11"/>
              <w:spacing w:before="80" w:line="219" w:lineRule="auto"/>
              <w:ind w:left="78"/>
              <w:rPr>
                <w:color w:val="000000" w:themeColor="text1"/>
                <w:highlight w:val="none"/>
                <w14:textFill>
                  <w14:solidFill>
                    <w14:schemeClr w14:val="tx1"/>
                  </w14:solidFill>
                </w14:textFill>
              </w:rPr>
            </w:pPr>
            <w:r>
              <w:rPr>
                <w:b/>
                <w:bCs/>
                <w:color w:val="000000" w:themeColor="text1"/>
                <w:spacing w:val="-3"/>
                <w:highlight w:val="none"/>
                <w14:textFill>
                  <w14:solidFill>
                    <w14:schemeClr w14:val="tx1"/>
                  </w14:solidFill>
                </w14:textFill>
              </w:rPr>
              <w:t>需要补充的其他内容：</w:t>
            </w:r>
          </w:p>
        </w:tc>
      </w:tr>
      <w:tr w14:paraId="193A3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984" w:type="dxa"/>
            <w:vAlign w:val="top"/>
          </w:tcPr>
          <w:p w14:paraId="0AD64CF8">
            <w:pPr>
              <w:pStyle w:val="11"/>
              <w:spacing w:before="67" w:line="219" w:lineRule="auto"/>
              <w:ind w:left="158"/>
              <w:rPr>
                <w:color w:val="000000" w:themeColor="text1"/>
                <w:highlight w:val="none"/>
                <w14:textFill>
                  <w14:solidFill>
                    <w14:schemeClr w14:val="tx1"/>
                  </w14:solidFill>
                </w14:textFill>
              </w:rPr>
            </w:pPr>
            <w:r>
              <w:rPr>
                <w:b/>
                <w:bCs/>
                <w:color w:val="000000" w:themeColor="text1"/>
                <w:spacing w:val="-5"/>
                <w:highlight w:val="none"/>
                <w14:textFill>
                  <w14:solidFill>
                    <w14:schemeClr w14:val="tx1"/>
                  </w14:solidFill>
                </w14:textFill>
              </w:rPr>
              <w:t>条款号</w:t>
            </w:r>
          </w:p>
        </w:tc>
        <w:tc>
          <w:tcPr>
            <w:tcW w:w="8338" w:type="dxa"/>
            <w:vAlign w:val="top"/>
          </w:tcPr>
          <w:p w14:paraId="781482C8">
            <w:pPr>
              <w:pStyle w:val="11"/>
              <w:spacing w:before="67" w:line="219" w:lineRule="auto"/>
              <w:ind w:left="3674"/>
              <w:rPr>
                <w:color w:val="000000" w:themeColor="text1"/>
                <w:highlight w:val="none"/>
                <w14:textFill>
                  <w14:solidFill>
                    <w14:schemeClr w14:val="tx1"/>
                  </w14:solidFill>
                </w14:textFill>
              </w:rPr>
            </w:pPr>
            <w:r>
              <w:rPr>
                <w:b/>
                <w:bCs/>
                <w:color w:val="000000" w:themeColor="text1"/>
                <w:spacing w:val="-5"/>
                <w:highlight w:val="none"/>
                <w14:textFill>
                  <w14:solidFill>
                    <w14:schemeClr w14:val="tx1"/>
                  </w14:solidFill>
                </w14:textFill>
              </w:rPr>
              <w:t>编列内容</w:t>
            </w:r>
          </w:p>
        </w:tc>
      </w:tr>
      <w:tr w14:paraId="6B881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6" w:hRule="atLeast"/>
        </w:trPr>
        <w:tc>
          <w:tcPr>
            <w:tcW w:w="984" w:type="dxa"/>
            <w:vAlign w:val="top"/>
          </w:tcPr>
          <w:p w14:paraId="41A6968A">
            <w:pPr>
              <w:spacing w:line="247" w:lineRule="auto"/>
              <w:rPr>
                <w:rFonts w:ascii="Arial"/>
                <w:color w:val="000000" w:themeColor="text1"/>
                <w:sz w:val="21"/>
                <w:highlight w:val="none"/>
                <w14:textFill>
                  <w14:solidFill>
                    <w14:schemeClr w14:val="tx1"/>
                  </w14:solidFill>
                </w14:textFill>
              </w:rPr>
            </w:pPr>
          </w:p>
          <w:p w14:paraId="623CD4F9">
            <w:pPr>
              <w:spacing w:line="247" w:lineRule="auto"/>
              <w:rPr>
                <w:rFonts w:ascii="Arial"/>
                <w:color w:val="000000" w:themeColor="text1"/>
                <w:sz w:val="21"/>
                <w:highlight w:val="none"/>
                <w14:textFill>
                  <w14:solidFill>
                    <w14:schemeClr w14:val="tx1"/>
                  </w14:solidFill>
                </w14:textFill>
              </w:rPr>
            </w:pPr>
          </w:p>
          <w:p w14:paraId="3666B7F5">
            <w:pPr>
              <w:spacing w:line="247" w:lineRule="auto"/>
              <w:rPr>
                <w:rFonts w:ascii="Arial"/>
                <w:color w:val="000000" w:themeColor="text1"/>
                <w:sz w:val="21"/>
                <w:highlight w:val="none"/>
                <w14:textFill>
                  <w14:solidFill>
                    <w14:schemeClr w14:val="tx1"/>
                  </w14:solidFill>
                </w14:textFill>
              </w:rPr>
            </w:pPr>
          </w:p>
          <w:p w14:paraId="6F66BECC">
            <w:pPr>
              <w:spacing w:line="247" w:lineRule="auto"/>
              <w:rPr>
                <w:rFonts w:ascii="Arial"/>
                <w:color w:val="000000" w:themeColor="text1"/>
                <w:sz w:val="21"/>
                <w:highlight w:val="none"/>
                <w14:textFill>
                  <w14:solidFill>
                    <w14:schemeClr w14:val="tx1"/>
                  </w14:solidFill>
                </w14:textFill>
              </w:rPr>
            </w:pPr>
          </w:p>
          <w:p w14:paraId="6F18F5F3">
            <w:pPr>
              <w:spacing w:line="247" w:lineRule="auto"/>
              <w:rPr>
                <w:rFonts w:ascii="Arial"/>
                <w:color w:val="000000" w:themeColor="text1"/>
                <w:sz w:val="21"/>
                <w:highlight w:val="none"/>
                <w14:textFill>
                  <w14:solidFill>
                    <w14:schemeClr w14:val="tx1"/>
                  </w14:solidFill>
                </w14:textFill>
              </w:rPr>
            </w:pPr>
          </w:p>
          <w:p w14:paraId="513FC870">
            <w:pPr>
              <w:spacing w:line="247" w:lineRule="auto"/>
              <w:rPr>
                <w:rFonts w:ascii="Arial"/>
                <w:color w:val="000000" w:themeColor="text1"/>
                <w:sz w:val="21"/>
                <w:highlight w:val="none"/>
                <w14:textFill>
                  <w14:solidFill>
                    <w14:schemeClr w14:val="tx1"/>
                  </w14:solidFill>
                </w14:textFill>
              </w:rPr>
            </w:pPr>
          </w:p>
          <w:p w14:paraId="7A27169D">
            <w:pPr>
              <w:spacing w:line="247" w:lineRule="auto"/>
              <w:rPr>
                <w:rFonts w:ascii="Arial"/>
                <w:color w:val="000000" w:themeColor="text1"/>
                <w:sz w:val="21"/>
                <w:highlight w:val="none"/>
                <w14:textFill>
                  <w14:solidFill>
                    <w14:schemeClr w14:val="tx1"/>
                  </w14:solidFill>
                </w14:textFill>
              </w:rPr>
            </w:pPr>
          </w:p>
          <w:p w14:paraId="6E5C69DD">
            <w:pPr>
              <w:spacing w:line="247" w:lineRule="auto"/>
              <w:rPr>
                <w:rFonts w:ascii="Arial"/>
                <w:color w:val="000000" w:themeColor="text1"/>
                <w:sz w:val="21"/>
                <w:highlight w:val="none"/>
                <w14:textFill>
                  <w14:solidFill>
                    <w14:schemeClr w14:val="tx1"/>
                  </w14:solidFill>
                </w14:textFill>
              </w:rPr>
            </w:pPr>
          </w:p>
          <w:p w14:paraId="471F48CC">
            <w:pPr>
              <w:spacing w:line="247" w:lineRule="auto"/>
              <w:rPr>
                <w:rFonts w:ascii="Arial"/>
                <w:color w:val="000000" w:themeColor="text1"/>
                <w:sz w:val="21"/>
                <w:highlight w:val="none"/>
                <w14:textFill>
                  <w14:solidFill>
                    <w14:schemeClr w14:val="tx1"/>
                  </w14:solidFill>
                </w14:textFill>
              </w:rPr>
            </w:pPr>
          </w:p>
          <w:p w14:paraId="274DC4EB">
            <w:pPr>
              <w:spacing w:line="247" w:lineRule="auto"/>
              <w:rPr>
                <w:rFonts w:ascii="Arial"/>
                <w:color w:val="000000" w:themeColor="text1"/>
                <w:sz w:val="21"/>
                <w:highlight w:val="none"/>
                <w14:textFill>
                  <w14:solidFill>
                    <w14:schemeClr w14:val="tx1"/>
                  </w14:solidFill>
                </w14:textFill>
              </w:rPr>
            </w:pPr>
          </w:p>
          <w:p w14:paraId="32B2B197">
            <w:pPr>
              <w:spacing w:line="247" w:lineRule="auto"/>
              <w:rPr>
                <w:rFonts w:ascii="Arial"/>
                <w:color w:val="000000" w:themeColor="text1"/>
                <w:sz w:val="21"/>
                <w:highlight w:val="none"/>
                <w14:textFill>
                  <w14:solidFill>
                    <w14:schemeClr w14:val="tx1"/>
                  </w14:solidFill>
                </w14:textFill>
              </w:rPr>
            </w:pPr>
          </w:p>
          <w:p w14:paraId="58D00B90">
            <w:pPr>
              <w:spacing w:line="247" w:lineRule="auto"/>
              <w:rPr>
                <w:rFonts w:ascii="Arial"/>
                <w:color w:val="000000" w:themeColor="text1"/>
                <w:sz w:val="21"/>
                <w:highlight w:val="none"/>
                <w14:textFill>
                  <w14:solidFill>
                    <w14:schemeClr w14:val="tx1"/>
                  </w14:solidFill>
                </w14:textFill>
              </w:rPr>
            </w:pPr>
          </w:p>
          <w:p w14:paraId="0AFCE931">
            <w:pPr>
              <w:spacing w:line="248" w:lineRule="auto"/>
              <w:rPr>
                <w:rFonts w:ascii="Arial"/>
                <w:color w:val="000000" w:themeColor="text1"/>
                <w:sz w:val="21"/>
                <w:highlight w:val="none"/>
                <w14:textFill>
                  <w14:solidFill>
                    <w14:schemeClr w14:val="tx1"/>
                  </w14:solidFill>
                </w14:textFill>
              </w:rPr>
            </w:pPr>
          </w:p>
          <w:p w14:paraId="1BA3906B">
            <w:pPr>
              <w:spacing w:line="248" w:lineRule="auto"/>
              <w:rPr>
                <w:rFonts w:ascii="Arial"/>
                <w:color w:val="000000" w:themeColor="text1"/>
                <w:sz w:val="21"/>
                <w:highlight w:val="none"/>
                <w14:textFill>
                  <w14:solidFill>
                    <w14:schemeClr w14:val="tx1"/>
                  </w14:solidFill>
                </w14:textFill>
              </w:rPr>
            </w:pPr>
          </w:p>
          <w:p w14:paraId="0B94065B">
            <w:pPr>
              <w:pStyle w:val="11"/>
              <w:spacing w:before="71" w:line="241" w:lineRule="auto"/>
              <w:ind w:left="42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8338" w:type="dxa"/>
            <w:vAlign w:val="top"/>
          </w:tcPr>
          <w:p w14:paraId="12B23A91">
            <w:pPr>
              <w:pStyle w:val="11"/>
              <w:keepNext w:val="0"/>
              <w:keepLines w:val="0"/>
              <w:pageBreakBefore w:val="0"/>
              <w:widowControl w:val="0"/>
              <w:kinsoku/>
              <w:wordWrap/>
              <w:overflowPunct/>
              <w:topLinePunct w:val="0"/>
              <w:autoSpaceDE/>
              <w:autoSpaceDN/>
              <w:bidi w:val="0"/>
              <w:adjustRightInd/>
              <w:snapToGrid/>
              <w:spacing w:before="131" w:line="440" w:lineRule="exact"/>
              <w:ind w:left="111"/>
              <w:textAlignment w:val="auto"/>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1、评标办法</w:t>
            </w:r>
          </w:p>
          <w:p w14:paraId="1A7ABBF7">
            <w:pPr>
              <w:pStyle w:val="11"/>
              <w:keepNext w:val="0"/>
              <w:keepLines w:val="0"/>
              <w:pageBreakBefore w:val="0"/>
              <w:widowControl w:val="0"/>
              <w:kinsoku/>
              <w:wordWrap/>
              <w:overflowPunct/>
              <w:topLinePunct w:val="0"/>
              <w:autoSpaceDE/>
              <w:autoSpaceDN/>
              <w:bidi w:val="0"/>
              <w:adjustRightInd/>
              <w:snapToGrid/>
              <w:spacing w:before="147" w:line="440" w:lineRule="exact"/>
              <w:ind w:left="51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本条细化为：</w:t>
            </w:r>
          </w:p>
          <w:p w14:paraId="5C255517">
            <w:pPr>
              <w:pStyle w:val="11"/>
              <w:keepNext w:val="0"/>
              <w:keepLines w:val="0"/>
              <w:pageBreakBefore w:val="0"/>
              <w:widowControl w:val="0"/>
              <w:kinsoku/>
              <w:wordWrap/>
              <w:overflowPunct/>
              <w:topLinePunct w:val="0"/>
              <w:autoSpaceDE/>
              <w:autoSpaceDN/>
              <w:bidi w:val="0"/>
              <w:adjustRightInd/>
              <w:snapToGrid/>
              <w:spacing w:before="128" w:line="440" w:lineRule="exact"/>
              <w:ind w:left="121" w:right="3" w:firstLine="420"/>
              <w:textAlignment w:val="auto"/>
              <w:rPr>
                <w:color w:val="000000" w:themeColor="text1"/>
                <w:highlight w:val="none"/>
                <w14:textFill>
                  <w14:solidFill>
                    <w14:schemeClr w14:val="tx1"/>
                  </w14:solidFill>
                </w14:textFill>
              </w:rPr>
            </w:pPr>
            <w:r>
              <w:rPr>
                <w:color w:val="000000" w:themeColor="text1"/>
                <w:spacing w:val="-9"/>
                <w:highlight w:val="none"/>
                <w14:textFill>
                  <w14:solidFill>
                    <w14:schemeClr w14:val="tx1"/>
                  </w14:solidFill>
                </w14:textFill>
              </w:rPr>
              <w:t>1.1本次评标采用双信封形式技术评分合理低价法，评标委员会首先对</w:t>
            </w:r>
            <w:r>
              <w:rPr>
                <w:color w:val="000000" w:themeColor="text1"/>
                <w:spacing w:val="-10"/>
                <w:highlight w:val="none"/>
                <w14:textFill>
                  <w14:solidFill>
                    <w14:schemeClr w14:val="tx1"/>
                  </w14:solidFill>
                </w14:textFill>
              </w:rPr>
              <w:t>第一个信封(商</w:t>
            </w:r>
            <w:r>
              <w:rPr>
                <w:color w:val="000000" w:themeColor="text1"/>
                <w:highlight w:val="none"/>
                <w14:textFill>
                  <w14:solidFill>
                    <w14:schemeClr w14:val="tx1"/>
                  </w14:solidFill>
                </w14:textFill>
              </w:rPr>
              <w:t>务与技术文件)进行初步评审。</w:t>
            </w:r>
          </w:p>
          <w:p w14:paraId="742734B5">
            <w:pPr>
              <w:pStyle w:val="11"/>
              <w:keepNext w:val="0"/>
              <w:keepLines w:val="0"/>
              <w:pageBreakBefore w:val="0"/>
              <w:widowControl w:val="0"/>
              <w:kinsoku/>
              <w:wordWrap/>
              <w:overflowPunct/>
              <w:topLinePunct w:val="0"/>
              <w:autoSpaceDE/>
              <w:autoSpaceDN/>
              <w:bidi w:val="0"/>
              <w:adjustRightInd/>
              <w:snapToGrid/>
              <w:spacing w:before="125" w:line="440" w:lineRule="exact"/>
              <w:ind w:left="124" w:right="10" w:firstLine="399"/>
              <w:textAlignment w:val="auto"/>
              <w:rPr>
                <w:color w:val="000000" w:themeColor="text1"/>
                <w:highlight w:val="none"/>
                <w14:textFill>
                  <w14:solidFill>
                    <w14:schemeClr w14:val="tx1"/>
                  </w14:solidFill>
                </w14:textFill>
              </w:rPr>
            </w:pPr>
            <w:r>
              <w:rPr>
                <w:b/>
                <w:bCs/>
                <w:color w:val="000000" w:themeColor="text1"/>
                <w:spacing w:val="-6"/>
                <w:highlight w:val="none"/>
                <w14:textFill>
                  <w14:solidFill>
                    <w14:schemeClr w14:val="tx1"/>
                  </w14:solidFill>
                </w14:textFill>
              </w:rPr>
              <w:t>1.2通过投标文件第一个信封初步评审的投标人数量小于等于3家时，不再对投标人</w:t>
            </w:r>
            <w:r>
              <w:rPr>
                <w:b/>
                <w:bCs/>
                <w:color w:val="000000" w:themeColor="text1"/>
                <w:spacing w:val="-5"/>
                <w:highlight w:val="none"/>
                <w14:textFill>
                  <w14:solidFill>
                    <w14:schemeClr w14:val="tx1"/>
                  </w14:solidFill>
                </w14:textFill>
              </w:rPr>
              <w:t>的商务和技术文件进行评分，其投标文件均通过投标文件</w:t>
            </w:r>
            <w:r>
              <w:rPr>
                <w:b/>
                <w:bCs/>
                <w:color w:val="000000" w:themeColor="text1"/>
                <w:spacing w:val="-6"/>
                <w:highlight w:val="none"/>
                <w14:textFill>
                  <w14:solidFill>
                    <w14:schemeClr w14:val="tx1"/>
                  </w14:solidFill>
                </w14:textFill>
              </w:rPr>
              <w:t>第一个信封评审</w:t>
            </w:r>
            <w:r>
              <w:rPr>
                <w:color w:val="000000" w:themeColor="text1"/>
                <w:spacing w:val="-6"/>
                <w:highlight w:val="none"/>
                <w14:textFill>
                  <w14:solidFill>
                    <w14:schemeClr w14:val="tx1"/>
                  </w14:solidFill>
                </w14:textFill>
              </w:rPr>
              <w:t>。</w:t>
            </w:r>
          </w:p>
          <w:p w14:paraId="2D1FAC2C">
            <w:pPr>
              <w:pStyle w:val="11"/>
              <w:keepNext w:val="0"/>
              <w:keepLines w:val="0"/>
              <w:pageBreakBefore w:val="0"/>
              <w:widowControl w:val="0"/>
              <w:kinsoku/>
              <w:wordWrap/>
              <w:overflowPunct/>
              <w:topLinePunct w:val="0"/>
              <w:autoSpaceDE/>
              <w:autoSpaceDN/>
              <w:bidi w:val="0"/>
              <w:adjustRightInd/>
              <w:snapToGrid/>
              <w:spacing w:before="147" w:line="440" w:lineRule="exact"/>
              <w:ind w:left="114" w:right="10" w:firstLine="409"/>
              <w:textAlignment w:val="auto"/>
              <w:rPr>
                <w:color w:val="000000" w:themeColor="text1"/>
                <w:highlight w:val="none"/>
                <w14:textFill>
                  <w14:solidFill>
                    <w14:schemeClr w14:val="tx1"/>
                  </w14:solidFill>
                </w14:textFill>
              </w:rPr>
            </w:pPr>
            <w:r>
              <w:rPr>
                <w:b/>
                <w:bCs/>
                <w:color w:val="000000" w:themeColor="text1"/>
                <w:spacing w:val="-12"/>
                <w:highlight w:val="none"/>
                <w14:textFill>
                  <w14:solidFill>
                    <w14:schemeClr w14:val="tx1"/>
                  </w14:solidFill>
                </w14:textFill>
              </w:rPr>
              <w:t>由于“电子交易平台”系统设定的原因无法直接通过投标文件第一个信封评审的，其</w:t>
            </w:r>
            <w:r>
              <w:rPr>
                <w:b/>
                <w:bCs/>
                <w:color w:val="000000" w:themeColor="text1"/>
                <w:spacing w:val="-3"/>
                <w:highlight w:val="none"/>
                <w14:textFill>
                  <w14:solidFill>
                    <w14:schemeClr w14:val="tx1"/>
                  </w14:solidFill>
                </w14:textFill>
              </w:rPr>
              <w:t>各评分因素(细分项)均按最高评分标准录入。</w:t>
            </w:r>
          </w:p>
          <w:p w14:paraId="75284E61">
            <w:pPr>
              <w:pStyle w:val="11"/>
              <w:keepNext w:val="0"/>
              <w:keepLines w:val="0"/>
              <w:pageBreakBefore w:val="0"/>
              <w:widowControl w:val="0"/>
              <w:kinsoku/>
              <w:wordWrap/>
              <w:overflowPunct/>
              <w:topLinePunct w:val="0"/>
              <w:autoSpaceDE/>
              <w:autoSpaceDN/>
              <w:bidi w:val="0"/>
              <w:adjustRightInd/>
              <w:snapToGrid/>
              <w:spacing w:before="1" w:line="440" w:lineRule="exact"/>
              <w:ind w:left="124" w:right="11" w:firstLine="420"/>
              <w:textAlignment w:val="auto"/>
              <w:rPr>
                <w:color w:val="000000" w:themeColor="text1"/>
                <w:highlight w:val="none"/>
                <w14:textFill>
                  <w14:solidFill>
                    <w14:schemeClr w14:val="tx1"/>
                  </w14:solidFill>
                </w14:textFill>
              </w:rPr>
            </w:pPr>
            <w:r>
              <w:rPr>
                <w:b/>
                <w:bCs/>
                <w:color w:val="000000" w:themeColor="text1"/>
                <w:spacing w:val="-6"/>
                <w:highlight w:val="none"/>
                <w14:textFill>
                  <w14:solidFill>
                    <w14:schemeClr w14:val="tx1"/>
                  </w14:solidFill>
                </w14:textFill>
              </w:rPr>
              <w:t>1.3通过投标文件第一个信封初步评审的投标人大于3家时，评</w:t>
            </w:r>
            <w:r>
              <w:rPr>
                <w:b/>
                <w:bCs/>
                <w:color w:val="000000" w:themeColor="text1"/>
                <w:spacing w:val="-7"/>
                <w:highlight w:val="none"/>
                <w14:textFill>
                  <w14:solidFill>
                    <w14:schemeClr w14:val="tx1"/>
                  </w14:solidFill>
                </w14:textFill>
              </w:rPr>
              <w:t>标委员会对通过投标</w:t>
            </w:r>
            <w:r>
              <w:rPr>
                <w:b/>
                <w:bCs/>
                <w:color w:val="000000" w:themeColor="text1"/>
                <w:spacing w:val="-3"/>
                <w:highlight w:val="none"/>
                <w14:textFill>
                  <w14:solidFill>
                    <w14:schemeClr w14:val="tx1"/>
                  </w14:solidFill>
                </w14:textFill>
              </w:rPr>
              <w:t>文件第一个信封初步评审投标人的商务和技术文件进行评分。</w:t>
            </w:r>
          </w:p>
          <w:p w14:paraId="41189391">
            <w:pPr>
              <w:pStyle w:val="11"/>
              <w:keepNext w:val="0"/>
              <w:keepLines w:val="0"/>
              <w:pageBreakBefore w:val="0"/>
              <w:widowControl w:val="0"/>
              <w:kinsoku/>
              <w:wordWrap/>
              <w:overflowPunct/>
              <w:topLinePunct w:val="0"/>
              <w:autoSpaceDE/>
              <w:autoSpaceDN/>
              <w:bidi w:val="0"/>
              <w:adjustRightInd/>
              <w:snapToGrid/>
              <w:spacing w:before="4" w:line="440" w:lineRule="exact"/>
              <w:ind w:left="111" w:firstLine="432"/>
              <w:jc w:val="both"/>
              <w:textAlignment w:val="auto"/>
              <w:rPr>
                <w:color w:val="000000" w:themeColor="text1"/>
                <w:highlight w:val="none"/>
                <w14:textFill>
                  <w14:solidFill>
                    <w14:schemeClr w14:val="tx1"/>
                  </w14:solidFill>
                </w14:textFill>
              </w:rPr>
            </w:pPr>
            <w:r>
              <w:rPr>
                <w:b/>
                <w:bCs/>
                <w:color w:val="000000" w:themeColor="text1"/>
                <w:spacing w:val="-3"/>
                <w:highlight w:val="none"/>
                <w14:textFill>
                  <w14:solidFill>
                    <w14:schemeClr w14:val="tx1"/>
                  </w14:solidFill>
                </w14:textFill>
              </w:rPr>
              <w:t>各评分因素(履约信誉评分项除外)得分一般不得低于其权重分值的60%,且各评分</w:t>
            </w:r>
            <w:r>
              <w:rPr>
                <w:color w:val="000000" w:themeColor="text1"/>
                <w:spacing w:val="-4"/>
                <w:highlight w:val="none"/>
                <w14:textFill>
                  <w14:solidFill>
                    <w14:schemeClr w14:val="tx1"/>
                  </w14:solidFill>
                </w14:textFill>
              </w:rPr>
              <w:t>因素</w:t>
            </w:r>
            <w:r>
              <w:rPr>
                <w:b/>
                <w:bCs/>
                <w:color w:val="000000" w:themeColor="text1"/>
                <w:spacing w:val="-4"/>
                <w:highlight w:val="none"/>
                <w14:textFill>
                  <w14:solidFill>
                    <w14:schemeClr w14:val="tx1"/>
                  </w14:solidFill>
                </w14:textFill>
              </w:rPr>
              <w:t>(细分项)得分应以评标委员会各成员的打分平均值确定，评标委员会成员总数为7</w:t>
            </w:r>
            <w:r>
              <w:rPr>
                <w:b/>
                <w:bCs/>
                <w:color w:val="000000" w:themeColor="text1"/>
                <w:spacing w:val="-3"/>
                <w:highlight w:val="none"/>
                <w14:textFill>
                  <w14:solidFill>
                    <w14:schemeClr w14:val="tx1"/>
                  </w14:solidFill>
                </w14:textFill>
              </w:rPr>
              <w:t>人(含7人)以上时，该平均值以去掉一个最高分和一个最低分后计算</w:t>
            </w:r>
            <w:r>
              <w:rPr>
                <w:b/>
                <w:bCs/>
                <w:color w:val="000000" w:themeColor="text1"/>
                <w:spacing w:val="-4"/>
                <w:highlight w:val="none"/>
                <w14:textFill>
                  <w14:solidFill>
                    <w14:schemeClr w14:val="tx1"/>
                  </w14:solidFill>
                </w14:textFill>
              </w:rPr>
              <w:t>。评标委员会成员</w:t>
            </w:r>
            <w:r>
              <w:rPr>
                <w:b/>
                <w:bCs/>
                <w:color w:val="000000" w:themeColor="text1"/>
                <w:spacing w:val="-3"/>
                <w:highlight w:val="none"/>
                <w14:textFill>
                  <w14:solidFill>
                    <w14:schemeClr w14:val="tx1"/>
                  </w14:solidFill>
                </w14:textFill>
              </w:rPr>
              <w:t>对某一项评分因素(细分项)的评分低于权重分值60%的，应在评标报告中作出说明。</w:t>
            </w:r>
          </w:p>
          <w:p w14:paraId="07F60076">
            <w:pPr>
              <w:pStyle w:val="11"/>
              <w:spacing w:before="137" w:line="348" w:lineRule="auto"/>
              <w:ind w:left="121" w:right="110" w:firstLine="430"/>
              <w:jc w:val="both"/>
              <w:rPr>
                <w:color w:val="000000" w:themeColor="text1"/>
                <w:spacing w:val="-1"/>
                <w:highlight w:val="none"/>
                <w14:textFill>
                  <w14:solidFill>
                    <w14:schemeClr w14:val="tx1"/>
                  </w14:solidFill>
                </w14:textFill>
              </w:rPr>
            </w:pPr>
            <w:r>
              <w:rPr>
                <w:b/>
                <w:bCs/>
                <w:color w:val="000000" w:themeColor="text1"/>
                <w:spacing w:val="-9"/>
                <w:highlight w:val="none"/>
                <w14:textFill>
                  <w14:solidFill>
                    <w14:schemeClr w14:val="tx1"/>
                  </w14:solidFill>
                </w14:textFill>
              </w:rPr>
              <w:t>1.4评标委员会按照投标人的商务和技术得分由高到低排序，排名在评标办法前附表</w:t>
            </w:r>
            <w:r>
              <w:rPr>
                <w:color w:val="000000" w:themeColor="text1"/>
                <w:spacing w:val="-10"/>
                <w:highlight w:val="none"/>
                <w14:textFill>
                  <w14:solidFill>
                    <w14:schemeClr w14:val="tx1"/>
                  </w14:solidFill>
                </w14:textFill>
              </w:rPr>
              <w:t>规定数量以内的投标人，其投标文件通过第一个信封详细评审。通过第一个信封详细评审</w:t>
            </w:r>
            <w:r>
              <w:rPr>
                <w:color w:val="000000" w:themeColor="text1"/>
                <w:spacing w:val="-3"/>
                <w:highlight w:val="none"/>
                <w14:textFill>
                  <w14:solidFill>
                    <w14:schemeClr w14:val="tx1"/>
                  </w14:solidFill>
                </w14:textFill>
              </w:rPr>
              <w:t>后的投标文件方可进入第二个信封的开标，未通过第一个信封初步评</w:t>
            </w:r>
            <w:r>
              <w:rPr>
                <w:color w:val="000000" w:themeColor="text1"/>
                <w:spacing w:val="-4"/>
                <w:highlight w:val="none"/>
                <w14:textFill>
                  <w14:solidFill>
                    <w14:schemeClr w14:val="tx1"/>
                  </w14:solidFill>
                </w14:textFill>
              </w:rPr>
              <w:t>审(或详细评审)的</w:t>
            </w:r>
            <w:r>
              <w:rPr>
                <w:color w:val="000000" w:themeColor="text1"/>
                <w:highlight w:val="none"/>
                <w14:textFill>
                  <w14:solidFill>
                    <w14:schemeClr w14:val="tx1"/>
                  </w14:solidFill>
                </w14:textFill>
              </w:rPr>
              <w:t>投标人不参与第二个信封的开标。第二个信封的开标在监督人的监督下</w:t>
            </w:r>
            <w:r>
              <w:rPr>
                <w:color w:val="000000" w:themeColor="text1"/>
                <w:spacing w:val="-1"/>
                <w:highlight w:val="none"/>
                <w14:textFill>
                  <w14:solidFill>
                    <w14:schemeClr w14:val="tx1"/>
                  </w14:solidFill>
                </w14:textFill>
              </w:rPr>
              <w:t>进行。</w:t>
            </w:r>
          </w:p>
          <w:p w14:paraId="272166E2">
            <w:pPr>
              <w:pStyle w:val="11"/>
              <w:spacing w:before="137" w:line="348" w:lineRule="auto"/>
              <w:ind w:left="121" w:right="110" w:firstLine="430"/>
              <w:jc w:val="both"/>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1.5评标委员会对第二个信封进行初步评审，对通过第二个信封初步评审的投标</w:t>
            </w:r>
            <w:r>
              <w:rPr>
                <w:color w:val="000000" w:themeColor="text1"/>
                <w:spacing w:val="-1"/>
                <w:sz w:val="21"/>
                <w:szCs w:val="21"/>
                <w:highlight w:val="none"/>
                <w14:textFill>
                  <w14:solidFill>
                    <w14:schemeClr w14:val="tx1"/>
                  </w14:solidFill>
                </w14:textFill>
              </w:rPr>
              <w:t>人，</w:t>
            </w:r>
            <w:r>
              <w:rPr>
                <w:color w:val="000000" w:themeColor="text1"/>
                <w:sz w:val="21"/>
                <w:szCs w:val="21"/>
                <w:highlight w:val="none"/>
                <w14:textFill>
                  <w14:solidFill>
                    <w14:schemeClr w14:val="tx1"/>
                  </w14:solidFill>
                </w14:textFill>
              </w:rPr>
              <w:t xml:space="preserve"> </w:t>
            </w:r>
            <w:r>
              <w:rPr>
                <w:color w:val="000000" w:themeColor="text1"/>
                <w:spacing w:val="1"/>
                <w:sz w:val="21"/>
                <w:szCs w:val="21"/>
                <w:highlight w:val="none"/>
                <w14:textFill>
                  <w14:solidFill>
                    <w14:schemeClr w14:val="tx1"/>
                  </w14:solidFill>
                </w14:textFill>
              </w:rPr>
              <w:t>按照本章第2.2款规定的评分标准进行评分，然后按评</w:t>
            </w:r>
            <w:r>
              <w:rPr>
                <w:color w:val="000000" w:themeColor="text1"/>
                <w:sz w:val="21"/>
                <w:szCs w:val="21"/>
                <w:highlight w:val="none"/>
                <w14:textFill>
                  <w14:solidFill>
                    <w14:schemeClr w14:val="tx1"/>
                  </w14:solidFill>
                </w14:textFill>
              </w:rPr>
              <w:t>标价得分由高到低顺序推荐1~3名中标候选人，但投标报价低于其成本的除外。</w:t>
            </w:r>
          </w:p>
          <w:p w14:paraId="220E43C2">
            <w:pPr>
              <w:pStyle w:val="11"/>
              <w:spacing w:before="2" w:line="355" w:lineRule="auto"/>
              <w:ind w:left="91" w:firstLine="459"/>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当两家及以上投标人在标段中的评标价得分相等时，若评标价不相等，以评标价较低</w:t>
            </w:r>
            <w:r>
              <w:rPr>
                <w:color w:val="000000" w:themeColor="text1"/>
                <w:spacing w:val="4"/>
                <w:sz w:val="21"/>
                <w:szCs w:val="21"/>
                <w:highlight w:val="none"/>
                <w14:textFill>
                  <w14:solidFill>
                    <w14:schemeClr w14:val="tx1"/>
                  </w14:solidFill>
                </w14:textFill>
              </w:rPr>
              <w:t xml:space="preserve"> </w:t>
            </w:r>
            <w:r>
              <w:rPr>
                <w:color w:val="000000" w:themeColor="text1"/>
                <w:spacing w:val="-2"/>
                <w:sz w:val="21"/>
                <w:szCs w:val="21"/>
                <w:highlight w:val="none"/>
                <w14:textFill>
                  <w14:solidFill>
                    <w14:schemeClr w14:val="tx1"/>
                  </w14:solidFill>
                </w14:textFill>
              </w:rPr>
              <w:t>者优先。</w:t>
            </w:r>
          </w:p>
          <w:p w14:paraId="775E99E8">
            <w:pPr>
              <w:pStyle w:val="11"/>
              <w:keepNext w:val="0"/>
              <w:keepLines w:val="0"/>
              <w:pageBreakBefore w:val="0"/>
              <w:widowControl w:val="0"/>
              <w:kinsoku/>
              <w:wordWrap/>
              <w:overflowPunct/>
              <w:topLinePunct w:val="0"/>
              <w:autoSpaceDE/>
              <w:autoSpaceDN/>
              <w:bidi w:val="0"/>
              <w:adjustRightInd/>
              <w:snapToGrid/>
              <w:spacing w:before="7" w:line="440" w:lineRule="exact"/>
              <w:ind w:right="6" w:firstLine="412" w:firstLineChars="200"/>
              <w:jc w:val="both"/>
              <w:textAlignment w:val="auto"/>
              <w:rPr>
                <w:color w:val="000000" w:themeColor="text1"/>
                <w:highlight w:val="none"/>
                <w14:textFill>
                  <w14:solidFill>
                    <w14:schemeClr w14:val="tx1"/>
                  </w14:solidFill>
                </w14:textFill>
              </w:rPr>
            </w:pPr>
            <w:r>
              <w:rPr>
                <w:color w:val="000000" w:themeColor="text1"/>
                <w:spacing w:val="-2"/>
                <w:sz w:val="21"/>
                <w:szCs w:val="21"/>
                <w:highlight w:val="none"/>
                <w14:textFill>
                  <w14:solidFill>
                    <w14:schemeClr w14:val="tx1"/>
                  </w14:solidFill>
                </w14:textFill>
              </w:rPr>
              <w:t>当两家及以上投标人在标段中的评标价得分相等且评标</w:t>
            </w:r>
            <w:r>
              <w:rPr>
                <w:color w:val="000000" w:themeColor="text1"/>
                <w:spacing w:val="-3"/>
                <w:sz w:val="21"/>
                <w:szCs w:val="21"/>
                <w:highlight w:val="none"/>
                <w14:textFill>
                  <w14:solidFill>
                    <w14:schemeClr w14:val="tx1"/>
                  </w14:solidFill>
                </w14:textFill>
              </w:rPr>
              <w:t>价也相等时，推荐顺序则依次</w:t>
            </w:r>
            <w:r>
              <w:rPr>
                <w:color w:val="000000" w:themeColor="text1"/>
                <w:sz w:val="21"/>
                <w:szCs w:val="21"/>
                <w:highlight w:val="none"/>
                <w14:textFill>
                  <w14:solidFill>
                    <w14:schemeClr w14:val="tx1"/>
                  </w14:solidFill>
                </w14:textFill>
              </w:rPr>
              <w:t xml:space="preserve">  </w:t>
            </w:r>
            <w:r>
              <w:rPr>
                <w:color w:val="000000" w:themeColor="text1"/>
                <w:spacing w:val="-4"/>
                <w:sz w:val="21"/>
                <w:szCs w:val="21"/>
                <w:highlight w:val="none"/>
                <w14:textFill>
                  <w14:solidFill>
                    <w14:schemeClr w14:val="tx1"/>
                  </w14:solidFill>
                </w14:textFill>
              </w:rPr>
              <w:t>依据“履约信誉得分”、“施工组织设计得分”、“主要人员得分</w:t>
            </w:r>
            <w:r>
              <w:rPr>
                <w:color w:val="000000" w:themeColor="text1"/>
                <w:spacing w:val="-5"/>
                <w:sz w:val="21"/>
                <w:szCs w:val="21"/>
                <w:highlight w:val="none"/>
                <w14:textFill>
                  <w14:solidFill>
                    <w14:schemeClr w14:val="tx1"/>
                  </w14:solidFill>
                </w14:textFill>
              </w:rPr>
              <w:t>”、“企业业绩得分”、</w:t>
            </w:r>
            <w:r>
              <w:rPr>
                <w:color w:val="000000" w:themeColor="text1"/>
                <w:sz w:val="21"/>
                <w:szCs w:val="21"/>
                <w:highlight w:val="none"/>
                <w14:textFill>
                  <w14:solidFill>
                    <w14:schemeClr w14:val="tx1"/>
                  </w14:solidFill>
                </w14:textFill>
              </w:rPr>
              <w:t xml:space="preserve"> </w:t>
            </w:r>
            <w:r>
              <w:rPr>
                <w:color w:val="000000" w:themeColor="text1"/>
                <w:spacing w:val="-1"/>
                <w:sz w:val="21"/>
                <w:szCs w:val="21"/>
                <w:highlight w:val="none"/>
                <w14:textFill>
                  <w14:solidFill>
                    <w14:schemeClr w14:val="tx1"/>
                  </w14:solidFill>
                </w14:textFill>
              </w:rPr>
              <w:t>“技术能力得分”由高到低的顺序进行确定，若</w:t>
            </w:r>
            <w:r>
              <w:rPr>
                <w:color w:val="000000" w:themeColor="text1"/>
                <w:spacing w:val="-2"/>
                <w:sz w:val="21"/>
                <w:szCs w:val="21"/>
                <w:highlight w:val="none"/>
                <w14:textFill>
                  <w14:solidFill>
                    <w14:schemeClr w14:val="tx1"/>
                  </w14:solidFill>
                </w14:textFill>
              </w:rPr>
              <w:t>技术能力得分也相等时，则由评标委员会</w:t>
            </w:r>
            <w:r>
              <w:rPr>
                <w:color w:val="000000" w:themeColor="text1"/>
                <w:spacing w:val="-1"/>
                <w:sz w:val="21"/>
                <w:szCs w:val="21"/>
                <w:highlight w:val="none"/>
                <w14:textFill>
                  <w14:solidFill>
                    <w14:schemeClr w14:val="tx1"/>
                  </w14:solidFill>
                </w14:textFill>
              </w:rPr>
              <w:t>根据投标文件的编制情况投票确定其推荐顺</w:t>
            </w:r>
            <w:r>
              <w:rPr>
                <w:color w:val="000000" w:themeColor="text1"/>
                <w:spacing w:val="-2"/>
                <w:sz w:val="21"/>
                <w:szCs w:val="21"/>
                <w:highlight w:val="none"/>
                <w14:textFill>
                  <w14:solidFill>
                    <w14:schemeClr w14:val="tx1"/>
                  </w14:solidFill>
                </w14:textFill>
              </w:rPr>
              <w:t>序。</w:t>
            </w:r>
          </w:p>
        </w:tc>
      </w:tr>
    </w:tbl>
    <w:p w14:paraId="7EA6009E">
      <w:pPr>
        <w:rPr>
          <w:rFonts w:ascii="Arial"/>
          <w:color w:val="000000" w:themeColor="text1"/>
          <w:sz w:val="21"/>
          <w:highlight w:val="none"/>
          <w14:textFill>
            <w14:solidFill>
              <w14:schemeClr w14:val="tx1"/>
            </w14:solidFill>
          </w14:textFill>
        </w:rPr>
      </w:pPr>
    </w:p>
    <w:p w14:paraId="39FC5EEA">
      <w:pPr>
        <w:rPr>
          <w:rFonts w:ascii="Arial" w:hAnsi="Arial" w:eastAsia="Arial" w:cs="Arial"/>
          <w:color w:val="000000" w:themeColor="text1"/>
          <w:sz w:val="21"/>
          <w:szCs w:val="21"/>
          <w:highlight w:val="none"/>
          <w14:textFill>
            <w14:solidFill>
              <w14:schemeClr w14:val="tx1"/>
            </w14:solidFill>
          </w14:textFill>
        </w:rPr>
        <w:sectPr>
          <w:headerReference r:id="rId6" w:type="default"/>
          <w:footerReference r:id="rId7" w:type="default"/>
          <w:pgSz w:w="11900" w:h="16840"/>
          <w:pgMar w:top="1177" w:right="1263" w:bottom="987" w:left="1304" w:header="824" w:footer="861" w:gutter="0"/>
          <w:pgBorders>
            <w:top w:val="none" w:sz="0" w:space="0"/>
            <w:left w:val="none" w:sz="0" w:space="0"/>
            <w:bottom w:val="none" w:sz="0" w:space="0"/>
            <w:right w:val="none" w:sz="0" w:space="0"/>
          </w:pgBorders>
          <w:cols w:space="720" w:num="1"/>
        </w:sectPr>
      </w:pPr>
    </w:p>
    <w:p w14:paraId="3DA5CFB0">
      <w:pPr>
        <w:spacing w:line="215" w:lineRule="exact"/>
        <w:rPr>
          <w:color w:val="000000" w:themeColor="text1"/>
          <w:highlight w:val="none"/>
          <w14:textFill>
            <w14:solidFill>
              <w14:schemeClr w14:val="tx1"/>
            </w14:solidFill>
          </w14:textFill>
        </w:rPr>
      </w:pPr>
    </w:p>
    <w:tbl>
      <w:tblPr>
        <w:tblStyle w:val="12"/>
        <w:tblW w:w="93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4"/>
        <w:gridCol w:w="8336"/>
      </w:tblGrid>
      <w:tr w14:paraId="1DA6E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blHeader/>
        </w:trPr>
        <w:tc>
          <w:tcPr>
            <w:tcW w:w="9320" w:type="dxa"/>
            <w:gridSpan w:val="2"/>
            <w:vAlign w:val="top"/>
          </w:tcPr>
          <w:p w14:paraId="7E671CCF">
            <w:pPr>
              <w:pStyle w:val="11"/>
              <w:spacing w:before="83" w:line="219" w:lineRule="auto"/>
              <w:ind w:left="105"/>
              <w:rPr>
                <w:color w:val="000000" w:themeColor="text1"/>
                <w:sz w:val="21"/>
                <w:szCs w:val="21"/>
                <w:highlight w:val="none"/>
                <w14:textFill>
                  <w14:solidFill>
                    <w14:schemeClr w14:val="tx1"/>
                  </w14:solidFill>
                </w14:textFill>
              </w:rPr>
            </w:pPr>
            <w:bookmarkStart w:id="10" w:name="bookmark184"/>
            <w:bookmarkEnd w:id="10"/>
            <w:r>
              <w:rPr>
                <w:b/>
                <w:bCs/>
                <w:color w:val="000000" w:themeColor="text1"/>
                <w:spacing w:val="-1"/>
                <w:sz w:val="21"/>
                <w:szCs w:val="21"/>
                <w:highlight w:val="none"/>
                <w14:textFill>
                  <w14:solidFill>
                    <w14:schemeClr w14:val="tx1"/>
                  </w14:solidFill>
                </w14:textFill>
              </w:rPr>
              <w:t>需要补充的其他内容：</w:t>
            </w:r>
          </w:p>
        </w:tc>
      </w:tr>
      <w:tr w14:paraId="27927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blHeader/>
        </w:trPr>
        <w:tc>
          <w:tcPr>
            <w:tcW w:w="984" w:type="dxa"/>
            <w:vAlign w:val="top"/>
          </w:tcPr>
          <w:p w14:paraId="01706CEE">
            <w:pPr>
              <w:pStyle w:val="11"/>
              <w:spacing w:before="67" w:line="219" w:lineRule="auto"/>
              <w:ind w:left="158" w:leftChars="0"/>
              <w:rPr>
                <w:rFonts w:ascii="Arial"/>
                <w:color w:val="000000" w:themeColor="text1"/>
                <w:sz w:val="21"/>
                <w:highlight w:val="none"/>
                <w14:textFill>
                  <w14:solidFill>
                    <w14:schemeClr w14:val="tx1"/>
                  </w14:solidFill>
                </w14:textFill>
              </w:rPr>
            </w:pPr>
            <w:r>
              <w:rPr>
                <w:b/>
                <w:bCs/>
                <w:color w:val="000000" w:themeColor="text1"/>
                <w:spacing w:val="-5"/>
                <w:highlight w:val="none"/>
                <w14:textFill>
                  <w14:solidFill>
                    <w14:schemeClr w14:val="tx1"/>
                  </w14:solidFill>
                </w14:textFill>
              </w:rPr>
              <w:t>条款号</w:t>
            </w:r>
          </w:p>
        </w:tc>
        <w:tc>
          <w:tcPr>
            <w:tcW w:w="8336" w:type="dxa"/>
            <w:vAlign w:val="top"/>
          </w:tcPr>
          <w:p w14:paraId="698A356D">
            <w:pPr>
              <w:pStyle w:val="11"/>
              <w:spacing w:before="67" w:line="219" w:lineRule="auto"/>
              <w:ind w:left="3674" w:leftChars="0"/>
              <w:rPr>
                <w:color w:val="000000" w:themeColor="text1"/>
                <w:sz w:val="21"/>
                <w:szCs w:val="21"/>
                <w:highlight w:val="none"/>
                <w14:textFill>
                  <w14:solidFill>
                    <w14:schemeClr w14:val="tx1"/>
                  </w14:solidFill>
                </w14:textFill>
              </w:rPr>
            </w:pPr>
            <w:r>
              <w:rPr>
                <w:b/>
                <w:bCs/>
                <w:color w:val="000000" w:themeColor="text1"/>
                <w:spacing w:val="-5"/>
                <w:highlight w:val="none"/>
                <w14:textFill>
                  <w14:solidFill>
                    <w14:schemeClr w14:val="tx1"/>
                  </w14:solidFill>
                </w14:textFill>
              </w:rPr>
              <w:t>编列内容</w:t>
            </w:r>
          </w:p>
        </w:tc>
      </w:tr>
      <w:tr w14:paraId="72E90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88" w:hRule="atLeast"/>
        </w:trPr>
        <w:tc>
          <w:tcPr>
            <w:tcW w:w="984" w:type="dxa"/>
            <w:vAlign w:val="top"/>
          </w:tcPr>
          <w:p w14:paraId="62DAF894">
            <w:pPr>
              <w:spacing w:line="245" w:lineRule="auto"/>
              <w:rPr>
                <w:rFonts w:ascii="Arial"/>
                <w:color w:val="000000" w:themeColor="text1"/>
                <w:sz w:val="21"/>
                <w:highlight w:val="none"/>
                <w14:textFill>
                  <w14:solidFill>
                    <w14:schemeClr w14:val="tx1"/>
                  </w14:solidFill>
                </w14:textFill>
              </w:rPr>
            </w:pPr>
          </w:p>
          <w:p w14:paraId="7B3491C8">
            <w:pPr>
              <w:spacing w:line="245" w:lineRule="auto"/>
              <w:rPr>
                <w:rFonts w:ascii="Arial"/>
                <w:color w:val="000000" w:themeColor="text1"/>
                <w:sz w:val="21"/>
                <w:highlight w:val="none"/>
                <w14:textFill>
                  <w14:solidFill>
                    <w14:schemeClr w14:val="tx1"/>
                  </w14:solidFill>
                </w14:textFill>
              </w:rPr>
            </w:pPr>
          </w:p>
          <w:p w14:paraId="54DAB499">
            <w:pPr>
              <w:spacing w:line="245" w:lineRule="auto"/>
              <w:rPr>
                <w:rFonts w:ascii="Arial"/>
                <w:color w:val="000000" w:themeColor="text1"/>
                <w:sz w:val="21"/>
                <w:highlight w:val="none"/>
                <w14:textFill>
                  <w14:solidFill>
                    <w14:schemeClr w14:val="tx1"/>
                  </w14:solidFill>
                </w14:textFill>
              </w:rPr>
            </w:pPr>
          </w:p>
          <w:p w14:paraId="28FEE479">
            <w:pPr>
              <w:spacing w:line="245" w:lineRule="auto"/>
              <w:rPr>
                <w:rFonts w:ascii="Arial"/>
                <w:color w:val="000000" w:themeColor="text1"/>
                <w:sz w:val="21"/>
                <w:highlight w:val="none"/>
                <w14:textFill>
                  <w14:solidFill>
                    <w14:schemeClr w14:val="tx1"/>
                  </w14:solidFill>
                </w14:textFill>
              </w:rPr>
            </w:pPr>
          </w:p>
          <w:p w14:paraId="744FEC44">
            <w:pPr>
              <w:spacing w:line="245" w:lineRule="auto"/>
              <w:rPr>
                <w:rFonts w:ascii="Arial"/>
                <w:color w:val="000000" w:themeColor="text1"/>
                <w:sz w:val="21"/>
                <w:highlight w:val="none"/>
                <w14:textFill>
                  <w14:solidFill>
                    <w14:schemeClr w14:val="tx1"/>
                  </w14:solidFill>
                </w14:textFill>
              </w:rPr>
            </w:pPr>
          </w:p>
          <w:p w14:paraId="6B3080B9">
            <w:pPr>
              <w:spacing w:line="245" w:lineRule="auto"/>
              <w:rPr>
                <w:rFonts w:ascii="Arial"/>
                <w:color w:val="000000" w:themeColor="text1"/>
                <w:sz w:val="21"/>
                <w:highlight w:val="none"/>
                <w14:textFill>
                  <w14:solidFill>
                    <w14:schemeClr w14:val="tx1"/>
                  </w14:solidFill>
                </w14:textFill>
              </w:rPr>
            </w:pPr>
          </w:p>
          <w:p w14:paraId="6036F971">
            <w:pPr>
              <w:spacing w:line="245" w:lineRule="auto"/>
              <w:rPr>
                <w:rFonts w:ascii="Arial"/>
                <w:color w:val="000000" w:themeColor="text1"/>
                <w:sz w:val="21"/>
                <w:highlight w:val="none"/>
                <w14:textFill>
                  <w14:solidFill>
                    <w14:schemeClr w14:val="tx1"/>
                  </w14:solidFill>
                </w14:textFill>
              </w:rPr>
            </w:pPr>
          </w:p>
          <w:p w14:paraId="23974A80">
            <w:pPr>
              <w:spacing w:line="245" w:lineRule="auto"/>
              <w:rPr>
                <w:rFonts w:ascii="Arial"/>
                <w:color w:val="000000" w:themeColor="text1"/>
                <w:sz w:val="21"/>
                <w:highlight w:val="none"/>
                <w14:textFill>
                  <w14:solidFill>
                    <w14:schemeClr w14:val="tx1"/>
                  </w14:solidFill>
                </w14:textFill>
              </w:rPr>
            </w:pPr>
          </w:p>
          <w:p w14:paraId="5868F067">
            <w:pPr>
              <w:spacing w:line="245" w:lineRule="auto"/>
              <w:rPr>
                <w:rFonts w:ascii="Arial"/>
                <w:color w:val="000000" w:themeColor="text1"/>
                <w:sz w:val="21"/>
                <w:highlight w:val="none"/>
                <w14:textFill>
                  <w14:solidFill>
                    <w14:schemeClr w14:val="tx1"/>
                  </w14:solidFill>
                </w14:textFill>
              </w:rPr>
            </w:pPr>
          </w:p>
          <w:p w14:paraId="34812010">
            <w:pPr>
              <w:spacing w:line="245" w:lineRule="auto"/>
              <w:rPr>
                <w:rFonts w:ascii="Arial"/>
                <w:color w:val="000000" w:themeColor="text1"/>
                <w:sz w:val="21"/>
                <w:highlight w:val="none"/>
                <w14:textFill>
                  <w14:solidFill>
                    <w14:schemeClr w14:val="tx1"/>
                  </w14:solidFill>
                </w14:textFill>
              </w:rPr>
            </w:pPr>
          </w:p>
          <w:p w14:paraId="65E5E582">
            <w:pPr>
              <w:spacing w:line="245" w:lineRule="auto"/>
              <w:rPr>
                <w:rFonts w:ascii="Arial"/>
                <w:color w:val="000000" w:themeColor="text1"/>
                <w:sz w:val="21"/>
                <w:highlight w:val="none"/>
                <w14:textFill>
                  <w14:solidFill>
                    <w14:schemeClr w14:val="tx1"/>
                  </w14:solidFill>
                </w14:textFill>
              </w:rPr>
            </w:pPr>
          </w:p>
          <w:p w14:paraId="0F6E094A">
            <w:pPr>
              <w:spacing w:line="246" w:lineRule="auto"/>
              <w:rPr>
                <w:rFonts w:ascii="Arial"/>
                <w:color w:val="000000" w:themeColor="text1"/>
                <w:sz w:val="21"/>
                <w:highlight w:val="none"/>
                <w14:textFill>
                  <w14:solidFill>
                    <w14:schemeClr w14:val="tx1"/>
                  </w14:solidFill>
                </w14:textFill>
              </w:rPr>
            </w:pPr>
          </w:p>
          <w:p w14:paraId="0BB7E476">
            <w:pPr>
              <w:spacing w:line="246" w:lineRule="auto"/>
              <w:rPr>
                <w:rFonts w:ascii="Arial"/>
                <w:color w:val="000000" w:themeColor="text1"/>
                <w:sz w:val="21"/>
                <w:highlight w:val="none"/>
                <w14:textFill>
                  <w14:solidFill>
                    <w14:schemeClr w14:val="tx1"/>
                  </w14:solidFill>
                </w14:textFill>
              </w:rPr>
            </w:pPr>
          </w:p>
          <w:p w14:paraId="0D46A086">
            <w:pPr>
              <w:spacing w:line="246" w:lineRule="auto"/>
              <w:rPr>
                <w:rFonts w:ascii="Arial"/>
                <w:color w:val="000000" w:themeColor="text1"/>
                <w:sz w:val="21"/>
                <w:highlight w:val="none"/>
                <w14:textFill>
                  <w14:solidFill>
                    <w14:schemeClr w14:val="tx1"/>
                  </w14:solidFill>
                </w14:textFill>
              </w:rPr>
            </w:pPr>
          </w:p>
          <w:p w14:paraId="275BA7A0">
            <w:pPr>
              <w:spacing w:line="246" w:lineRule="auto"/>
              <w:rPr>
                <w:rFonts w:ascii="Arial"/>
                <w:color w:val="000000" w:themeColor="text1"/>
                <w:sz w:val="21"/>
                <w:highlight w:val="none"/>
                <w14:textFill>
                  <w14:solidFill>
                    <w14:schemeClr w14:val="tx1"/>
                  </w14:solidFill>
                </w14:textFill>
              </w:rPr>
            </w:pPr>
          </w:p>
          <w:p w14:paraId="1F03C853">
            <w:pPr>
              <w:spacing w:line="246" w:lineRule="auto"/>
              <w:rPr>
                <w:rFonts w:ascii="Arial"/>
                <w:color w:val="000000" w:themeColor="text1"/>
                <w:sz w:val="21"/>
                <w:highlight w:val="none"/>
                <w14:textFill>
                  <w14:solidFill>
                    <w14:schemeClr w14:val="tx1"/>
                  </w14:solidFill>
                </w14:textFill>
              </w:rPr>
            </w:pPr>
          </w:p>
          <w:p w14:paraId="4121F525">
            <w:pPr>
              <w:spacing w:line="246" w:lineRule="auto"/>
              <w:rPr>
                <w:rFonts w:ascii="Arial"/>
                <w:color w:val="000000" w:themeColor="text1"/>
                <w:sz w:val="21"/>
                <w:highlight w:val="none"/>
                <w14:textFill>
                  <w14:solidFill>
                    <w14:schemeClr w14:val="tx1"/>
                  </w14:solidFill>
                </w14:textFill>
              </w:rPr>
            </w:pPr>
          </w:p>
          <w:p w14:paraId="1EA7A86E">
            <w:pPr>
              <w:spacing w:line="246" w:lineRule="auto"/>
              <w:rPr>
                <w:rFonts w:ascii="Arial"/>
                <w:color w:val="000000" w:themeColor="text1"/>
                <w:sz w:val="21"/>
                <w:highlight w:val="none"/>
                <w14:textFill>
                  <w14:solidFill>
                    <w14:schemeClr w14:val="tx1"/>
                  </w14:solidFill>
                </w14:textFill>
              </w:rPr>
            </w:pPr>
          </w:p>
          <w:p w14:paraId="693D1B27">
            <w:pPr>
              <w:pStyle w:val="11"/>
              <w:spacing w:before="68"/>
              <w:ind w:left="405"/>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3</w:t>
            </w:r>
          </w:p>
        </w:tc>
        <w:tc>
          <w:tcPr>
            <w:tcW w:w="8336" w:type="dxa"/>
            <w:vAlign w:val="top"/>
          </w:tcPr>
          <w:p w14:paraId="0A998AD7">
            <w:pPr>
              <w:pStyle w:val="11"/>
              <w:spacing w:before="132" w:line="219" w:lineRule="auto"/>
              <w:ind w:left="121"/>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第3.1.3项细化为：</w:t>
            </w:r>
          </w:p>
          <w:p w14:paraId="5C292C49">
            <w:pPr>
              <w:pStyle w:val="11"/>
              <w:spacing w:before="140" w:line="356" w:lineRule="auto"/>
              <w:ind w:left="131" w:right="14" w:firstLine="42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某一标段通过第一个信封评审且参与第二个信封开标的投标人</w:t>
            </w:r>
            <w:r>
              <w:rPr>
                <w:color w:val="000000" w:themeColor="text1"/>
                <w:spacing w:val="-1"/>
                <w:sz w:val="21"/>
                <w:szCs w:val="21"/>
                <w:highlight w:val="none"/>
                <w14:textFill>
                  <w14:solidFill>
                    <w14:schemeClr w14:val="tx1"/>
                  </w14:solidFill>
                </w14:textFill>
              </w:rPr>
              <w:t>在3个及以上的，招标</w:t>
            </w:r>
            <w:r>
              <w:rPr>
                <w:color w:val="000000" w:themeColor="text1"/>
                <w:sz w:val="21"/>
                <w:szCs w:val="21"/>
                <w:highlight w:val="none"/>
                <w14:textFill>
                  <w14:solidFill>
                    <w14:schemeClr w14:val="tx1"/>
                  </w14:solidFill>
                </w14:textFill>
              </w:rPr>
              <w:t xml:space="preserve">  人将按规定的程序进行第二个信封开标；在对第二个信封进行评</w:t>
            </w:r>
            <w:r>
              <w:rPr>
                <w:color w:val="000000" w:themeColor="text1"/>
                <w:spacing w:val="-1"/>
                <w:sz w:val="21"/>
                <w:szCs w:val="21"/>
                <w:highlight w:val="none"/>
                <w14:textFill>
                  <w14:solidFill>
                    <w14:schemeClr w14:val="tx1"/>
                  </w14:solidFill>
                </w14:textFill>
              </w:rPr>
              <w:t>审后，有效投标不足3个</w:t>
            </w:r>
            <w:r>
              <w:rPr>
                <w:color w:val="000000" w:themeColor="text1"/>
                <w:sz w:val="21"/>
                <w:szCs w:val="21"/>
                <w:highlight w:val="none"/>
                <w14:textFill>
                  <w14:solidFill>
                    <w14:schemeClr w14:val="tx1"/>
                  </w14:solidFill>
                </w14:textFill>
              </w:rPr>
              <w:t xml:space="preserve">  使得投标明显缺乏竞争的，评标委员会可以否决这一标段的全部</w:t>
            </w:r>
            <w:r>
              <w:rPr>
                <w:color w:val="000000" w:themeColor="text1"/>
                <w:spacing w:val="-1"/>
                <w:sz w:val="21"/>
                <w:szCs w:val="21"/>
                <w:highlight w:val="none"/>
                <w14:textFill>
                  <w14:solidFill>
                    <w14:schemeClr w14:val="tx1"/>
                  </w14:solidFill>
                </w14:textFill>
              </w:rPr>
              <w:t>投标。评标委员会未否决</w:t>
            </w:r>
            <w:r>
              <w:rPr>
                <w:color w:val="000000" w:themeColor="text1"/>
                <w:sz w:val="21"/>
                <w:szCs w:val="21"/>
                <w:highlight w:val="none"/>
                <w14:textFill>
                  <w14:solidFill>
                    <w14:schemeClr w14:val="tx1"/>
                  </w14:solidFill>
                </w14:textFill>
              </w:rPr>
              <w:t xml:space="preserve"> 全部投标的，应当在评标报告中阐明理由并推荐这一标段中标</w:t>
            </w:r>
            <w:r>
              <w:rPr>
                <w:color w:val="000000" w:themeColor="text1"/>
                <w:spacing w:val="-1"/>
                <w:sz w:val="21"/>
                <w:szCs w:val="21"/>
                <w:highlight w:val="none"/>
                <w14:textFill>
                  <w14:solidFill>
                    <w14:schemeClr w14:val="tx1"/>
                  </w14:solidFill>
                </w14:textFill>
              </w:rPr>
              <w:t>候选人。</w:t>
            </w:r>
          </w:p>
          <w:p w14:paraId="7E4079C7">
            <w:pPr>
              <w:pStyle w:val="11"/>
              <w:spacing w:before="1" w:line="349" w:lineRule="auto"/>
              <w:ind w:left="101" w:firstLine="449"/>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某一标段通过第一个信封评审且参与第二个信封开标的投标人少于3个的，评标委员</w:t>
            </w:r>
            <w:r>
              <w:rPr>
                <w:color w:val="000000" w:themeColor="text1"/>
                <w:spacing w:val="8"/>
                <w:sz w:val="21"/>
                <w:szCs w:val="21"/>
                <w:highlight w:val="none"/>
                <w14:textFill>
                  <w14:solidFill>
                    <w14:schemeClr w14:val="tx1"/>
                  </w14:solidFill>
                </w14:textFill>
              </w:rPr>
              <w:t xml:space="preserve">  </w:t>
            </w:r>
            <w:r>
              <w:rPr>
                <w:color w:val="000000" w:themeColor="text1"/>
                <w:sz w:val="21"/>
                <w:szCs w:val="21"/>
                <w:highlight w:val="none"/>
                <w14:textFill>
                  <w14:solidFill>
                    <w14:schemeClr w14:val="tx1"/>
                  </w14:solidFill>
                </w14:textFill>
              </w:rPr>
              <w:t>会可以否决这一标段全部投标；未否决这一标段全部投</w:t>
            </w:r>
            <w:r>
              <w:rPr>
                <w:color w:val="000000" w:themeColor="text1"/>
                <w:spacing w:val="-1"/>
                <w:sz w:val="21"/>
                <w:szCs w:val="21"/>
                <w:highlight w:val="none"/>
                <w14:textFill>
                  <w14:solidFill>
                    <w14:schemeClr w14:val="tx1"/>
                  </w14:solidFill>
                </w14:textFill>
              </w:rPr>
              <w:t>标的，评标委员会应当对有效投标</w:t>
            </w:r>
            <w:r>
              <w:rPr>
                <w:color w:val="000000" w:themeColor="text1"/>
                <w:sz w:val="21"/>
                <w:szCs w:val="21"/>
                <w:highlight w:val="none"/>
                <w14:textFill>
                  <w14:solidFill>
                    <w14:schemeClr w14:val="tx1"/>
                  </w14:solidFill>
                </w14:textFill>
              </w:rPr>
              <w:t xml:space="preserve"> </w:t>
            </w:r>
            <w:r>
              <w:rPr>
                <w:color w:val="000000" w:themeColor="text1"/>
                <w:spacing w:val="1"/>
                <w:sz w:val="21"/>
                <w:szCs w:val="21"/>
                <w:highlight w:val="none"/>
                <w14:textFill>
                  <w14:solidFill>
                    <w14:schemeClr w14:val="tx1"/>
                  </w14:solidFill>
                </w14:textFill>
              </w:rPr>
              <w:t>是否仍具有竞争性进行评审，评标委员会一致认为有效投标仍具有竞争性的</w:t>
            </w:r>
            <w:r>
              <w:rPr>
                <w:color w:val="000000" w:themeColor="text1"/>
                <w:sz w:val="21"/>
                <w:szCs w:val="21"/>
                <w:highlight w:val="none"/>
                <w14:textFill>
                  <w14:solidFill>
                    <w14:schemeClr w14:val="tx1"/>
                  </w14:solidFill>
                </w14:textFill>
              </w:rPr>
              <w:t>，招标人将按 规定的程序进行第二个信封(报价文件)开标，并在报告中予以说明。但评标委员会在进行第二个信封评审时仍有权否决这一标段全部投标；评标委员会对有效投标是否仍具备竞</w:t>
            </w:r>
            <w:r>
              <w:rPr>
                <w:color w:val="000000" w:themeColor="text1"/>
                <w:spacing w:val="-1"/>
                <w:sz w:val="21"/>
                <w:szCs w:val="21"/>
                <w:highlight w:val="none"/>
                <w14:textFill>
                  <w14:solidFill>
                    <w14:schemeClr w14:val="tx1"/>
                  </w14:solidFill>
                </w14:textFill>
              </w:rPr>
              <w:t>争性无法达成一致意见的，应当否决这一标段全部投标。</w:t>
            </w:r>
          </w:p>
          <w:p w14:paraId="4057E89A">
            <w:pPr>
              <w:pStyle w:val="11"/>
              <w:spacing w:before="15" w:line="219" w:lineRule="auto"/>
              <w:ind w:left="131"/>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第3.6.1项细化为：</w:t>
            </w:r>
          </w:p>
          <w:p w14:paraId="2CDFD2CF">
            <w:pPr>
              <w:pStyle w:val="11"/>
              <w:spacing w:before="126" w:line="356" w:lineRule="auto"/>
              <w:ind w:left="111" w:firstLine="414"/>
              <w:jc w:val="both"/>
              <w:rPr>
                <w:color w:val="000000" w:themeColor="text1"/>
                <w:sz w:val="21"/>
                <w:szCs w:val="21"/>
                <w:highlight w:val="none"/>
                <w14:textFill>
                  <w14:solidFill>
                    <w14:schemeClr w14:val="tx1"/>
                  </w14:solidFill>
                </w14:textFill>
              </w:rPr>
            </w:pPr>
            <w:r>
              <w:rPr>
                <w:color w:val="000000" w:themeColor="text1"/>
                <w:spacing w:val="-3"/>
                <w:sz w:val="21"/>
                <w:szCs w:val="21"/>
                <w:highlight w:val="none"/>
                <w14:textFill>
                  <w14:solidFill>
                    <w14:schemeClr w14:val="tx1"/>
                  </w14:solidFill>
                </w14:textFill>
              </w:rPr>
              <w:t>在评标过程中，评标委员会应查询交通运输主管部门“公路建设市场监督管理系统”,</w:t>
            </w:r>
            <w:r>
              <w:rPr>
                <w:color w:val="000000" w:themeColor="text1"/>
                <w:spacing w:val="10"/>
                <w:sz w:val="21"/>
                <w:szCs w:val="21"/>
                <w:highlight w:val="none"/>
                <w14:textFill>
                  <w14:solidFill>
                    <w14:schemeClr w14:val="tx1"/>
                  </w14:solidFill>
                </w14:textFill>
              </w:rPr>
              <w:t xml:space="preserve"> </w:t>
            </w:r>
            <w:r>
              <w:rPr>
                <w:color w:val="000000" w:themeColor="text1"/>
                <w:sz w:val="21"/>
                <w:szCs w:val="21"/>
                <w:highlight w:val="none"/>
                <w14:textFill>
                  <w14:solidFill>
                    <w14:schemeClr w14:val="tx1"/>
                  </w14:solidFill>
                </w14:textFill>
              </w:rPr>
              <w:t>对投标人未在“辽宁省公共资源交易平台交通工程交易系统主体信息库”中体现的资质、</w:t>
            </w:r>
            <w:r>
              <w:rPr>
                <w:color w:val="000000" w:themeColor="text1"/>
                <w:spacing w:val="5"/>
                <w:sz w:val="21"/>
                <w:szCs w:val="21"/>
                <w:highlight w:val="none"/>
                <w14:textFill>
                  <w14:solidFill>
                    <w14:schemeClr w14:val="tx1"/>
                  </w14:solidFill>
                </w14:textFill>
              </w:rPr>
              <w:t xml:space="preserve"> </w:t>
            </w:r>
            <w:r>
              <w:rPr>
                <w:color w:val="000000" w:themeColor="text1"/>
                <w:spacing w:val="-2"/>
                <w:sz w:val="21"/>
                <w:szCs w:val="21"/>
                <w:highlight w:val="none"/>
                <w14:textFill>
                  <w14:solidFill>
                    <w14:schemeClr w14:val="tx1"/>
                  </w14:solidFill>
                </w14:textFill>
              </w:rPr>
              <w:t>业绩、主要人员资历等信息进行核实。若投</w:t>
            </w:r>
            <w:r>
              <w:rPr>
                <w:color w:val="000000" w:themeColor="text1"/>
                <w:spacing w:val="-3"/>
                <w:sz w:val="21"/>
                <w:szCs w:val="21"/>
                <w:highlight w:val="none"/>
                <w14:textFill>
                  <w14:solidFill>
                    <w14:schemeClr w14:val="tx1"/>
                  </w14:solidFill>
                </w14:textFill>
              </w:rPr>
              <w:t>标文件载明的信息与交通运输主管部门“公路</w:t>
            </w:r>
            <w:r>
              <w:rPr>
                <w:color w:val="000000" w:themeColor="text1"/>
                <w:spacing w:val="-5"/>
                <w:sz w:val="21"/>
                <w:szCs w:val="21"/>
                <w:highlight w:val="none"/>
                <w14:textFill>
                  <w14:solidFill>
                    <w14:schemeClr w14:val="tx1"/>
                  </w14:solidFill>
                </w14:textFill>
              </w:rPr>
              <w:t>建设市场监督管理系统”发布的信息不符，使得投标人的资格条件不符合招标文件规定的，</w:t>
            </w:r>
            <w:r>
              <w:rPr>
                <w:color w:val="000000" w:themeColor="text1"/>
                <w:spacing w:val="-2"/>
                <w:sz w:val="21"/>
                <w:szCs w:val="21"/>
                <w:highlight w:val="none"/>
                <w14:textFill>
                  <w14:solidFill>
                    <w14:schemeClr w14:val="tx1"/>
                  </w14:solidFill>
                </w14:textFill>
              </w:rPr>
              <w:t>评标委员会应否决其投标。</w:t>
            </w:r>
          </w:p>
          <w:p w14:paraId="6B63DD92">
            <w:pPr>
              <w:pStyle w:val="11"/>
              <w:spacing w:line="218" w:lineRule="auto"/>
              <w:ind w:left="551"/>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在评标过程中，评标委员会还应查询以下网站对投标人提供的相关</w:t>
            </w:r>
            <w:r>
              <w:rPr>
                <w:color w:val="000000" w:themeColor="text1"/>
                <w:spacing w:val="-1"/>
                <w:sz w:val="21"/>
                <w:szCs w:val="21"/>
                <w:highlight w:val="none"/>
                <w14:textFill>
                  <w14:solidFill>
                    <w14:schemeClr w14:val="tx1"/>
                  </w14:solidFill>
                </w14:textFill>
              </w:rPr>
              <w:t>信息进行核实：</w:t>
            </w:r>
          </w:p>
          <w:p w14:paraId="33ADF6BA">
            <w:pPr>
              <w:pStyle w:val="11"/>
              <w:spacing w:before="141" w:line="219" w:lineRule="auto"/>
              <w:ind w:left="641"/>
              <w:rPr>
                <w:color w:val="000000" w:themeColor="text1"/>
                <w:sz w:val="21"/>
                <w:szCs w:val="21"/>
                <w:highlight w:val="none"/>
                <w14:textFill>
                  <w14:solidFill>
                    <w14:schemeClr w14:val="tx1"/>
                  </w14:solidFill>
                </w14:textFill>
              </w:rPr>
            </w:pPr>
            <w:r>
              <w:rPr>
                <w:color w:val="000000" w:themeColor="text1"/>
                <w:spacing w:val="3"/>
                <w:sz w:val="21"/>
                <w:szCs w:val="21"/>
                <w:highlight w:val="none"/>
                <w14:textFill>
                  <w14:solidFill>
                    <w14:schemeClr w14:val="tx1"/>
                  </w14:solidFill>
                </w14:textFill>
              </w:rPr>
              <w:t>(1)“信用中国”、“国家企业信用信息公示系统”对</w:t>
            </w:r>
            <w:r>
              <w:rPr>
                <w:color w:val="000000" w:themeColor="text1"/>
                <w:spacing w:val="2"/>
                <w:sz w:val="21"/>
                <w:szCs w:val="21"/>
                <w:highlight w:val="none"/>
                <w14:textFill>
                  <w14:solidFill>
                    <w14:schemeClr w14:val="tx1"/>
                  </w14:solidFill>
                </w14:textFill>
              </w:rPr>
              <w:t>投标人信誉情况进行核实；</w:t>
            </w:r>
          </w:p>
          <w:p w14:paraId="46E6CB07">
            <w:pPr>
              <w:pStyle w:val="11"/>
              <w:spacing w:before="162" w:line="219" w:lineRule="auto"/>
              <w:ind w:left="651"/>
              <w:rPr>
                <w:color w:val="000000" w:themeColor="text1"/>
                <w:sz w:val="21"/>
                <w:szCs w:val="21"/>
                <w:highlight w:val="none"/>
                <w14:textFill>
                  <w14:solidFill>
                    <w14:schemeClr w14:val="tx1"/>
                  </w14:solidFill>
                </w14:textFill>
              </w:rPr>
            </w:pPr>
            <w:r>
              <w:rPr>
                <w:color w:val="000000" w:themeColor="text1"/>
                <w:spacing w:val="3"/>
                <w:sz w:val="21"/>
                <w:szCs w:val="21"/>
                <w:highlight w:val="none"/>
                <w14:textFill>
                  <w14:solidFill>
                    <w14:schemeClr w14:val="tx1"/>
                  </w14:solidFill>
                </w14:textFill>
              </w:rPr>
              <w:t>(2)“国家企业信用信息公示系统”对投标人股东信息进行核实；</w:t>
            </w:r>
          </w:p>
          <w:p w14:paraId="34DE406F">
            <w:pPr>
              <w:pStyle w:val="11"/>
              <w:spacing w:before="150" w:line="284" w:lineRule="auto"/>
              <w:ind w:left="111" w:firstLine="448"/>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若投标文件载明的信息与相关网站发布的信息不符，使得投标人的资格条</w:t>
            </w:r>
            <w:r>
              <w:rPr>
                <w:color w:val="000000" w:themeColor="text1"/>
                <w:spacing w:val="-1"/>
                <w:sz w:val="21"/>
                <w:szCs w:val="21"/>
                <w:highlight w:val="none"/>
                <w14:textFill>
                  <w14:solidFill>
                    <w14:schemeClr w14:val="tx1"/>
                  </w14:solidFill>
                </w14:textFill>
              </w:rPr>
              <w:t>件不符合招</w:t>
            </w:r>
            <w:r>
              <w:rPr>
                <w:color w:val="000000" w:themeColor="text1"/>
                <w:sz w:val="21"/>
                <w:szCs w:val="21"/>
                <w:highlight w:val="none"/>
                <w14:textFill>
                  <w14:solidFill>
                    <w14:schemeClr w14:val="tx1"/>
                  </w14:solidFill>
                </w14:textFill>
              </w:rPr>
              <w:t xml:space="preserve"> </w:t>
            </w:r>
            <w:r>
              <w:rPr>
                <w:color w:val="000000" w:themeColor="text1"/>
                <w:spacing w:val="-1"/>
                <w:sz w:val="21"/>
                <w:szCs w:val="21"/>
                <w:highlight w:val="none"/>
                <w14:textFill>
                  <w14:solidFill>
                    <w14:schemeClr w14:val="tx1"/>
                  </w14:solidFill>
                </w14:textFill>
              </w:rPr>
              <w:t>标文件规定的，评标委员会应否决其投标。</w:t>
            </w:r>
          </w:p>
        </w:tc>
      </w:tr>
      <w:tr w14:paraId="5EEB0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22" w:hRule="atLeast"/>
        </w:trPr>
        <w:tc>
          <w:tcPr>
            <w:tcW w:w="984" w:type="dxa"/>
            <w:vAlign w:val="center"/>
          </w:tcPr>
          <w:p w14:paraId="6E98F011">
            <w:pPr>
              <w:pStyle w:val="11"/>
              <w:spacing w:before="68"/>
              <w:ind w:left="405"/>
              <w:jc w:val="both"/>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4</w:t>
            </w:r>
          </w:p>
        </w:tc>
        <w:tc>
          <w:tcPr>
            <w:tcW w:w="8336" w:type="dxa"/>
            <w:vAlign w:val="top"/>
          </w:tcPr>
          <w:p w14:paraId="405475EC">
            <w:pPr>
              <w:pStyle w:val="11"/>
              <w:spacing w:before="150" w:line="360" w:lineRule="auto"/>
              <w:ind w:left="111" w:firstLine="448"/>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评标办法主要人员细化为：</w:t>
            </w:r>
          </w:p>
          <w:p w14:paraId="0CAAFE8B">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color w:val="000000" w:themeColor="text1"/>
                <w:spacing w:val="0"/>
                <w:sz w:val="21"/>
                <w:szCs w:val="21"/>
                <w:highlight w:val="none"/>
                <w14:textFill>
                  <w14:solidFill>
                    <w14:schemeClr w14:val="tx1"/>
                  </w14:solidFill>
                </w14:textFill>
              </w:rPr>
            </w:pPr>
            <w:r>
              <w:rPr>
                <w:rFonts w:hint="eastAsia"/>
                <w:b/>
                <w:bCs/>
                <w:color w:val="000000" w:themeColor="text1"/>
                <w:spacing w:val="0"/>
                <w:sz w:val="21"/>
                <w:szCs w:val="21"/>
                <w:highlight w:val="none"/>
                <w:lang w:val="en-US" w:eastAsia="zh-CN"/>
                <w14:textFill>
                  <w14:solidFill>
                    <w14:schemeClr w14:val="tx1"/>
                  </w14:solidFill>
                </w14:textFill>
              </w:rPr>
              <w:t>1、</w:t>
            </w:r>
            <w:r>
              <w:rPr>
                <w:b/>
                <w:bCs/>
                <w:color w:val="000000" w:themeColor="text1"/>
                <w:spacing w:val="0"/>
                <w:sz w:val="21"/>
                <w:szCs w:val="21"/>
                <w:highlight w:val="none"/>
                <w14:textFill>
                  <w14:solidFill>
                    <w14:schemeClr w14:val="tx1"/>
                  </w14:solidFill>
                </w14:textFill>
              </w:rPr>
              <w:t>当主要人员个人业绩为在投标人单位任职期间个人业绩时，</w:t>
            </w:r>
            <w:r>
              <w:rPr>
                <w:color w:val="000000" w:themeColor="text1"/>
                <w:spacing w:val="0"/>
                <w:sz w:val="21"/>
                <w:szCs w:val="21"/>
                <w:highlight w:val="none"/>
                <w14:textFill>
                  <w14:solidFill>
                    <w14:schemeClr w14:val="tx1"/>
                  </w14:solidFill>
                </w14:textFill>
              </w:rPr>
              <w:t>投标人应提供已录入“电子交易平台”主体信息库并通过审核的主要人员“业绩证明材料”且须体现个人业绩考核指标(姓名、职务、任职时段、合同额、工程内容等，下同)。主要人员“业绩证明材料”应从“电子交易平台”主体信息库中选择并在投标文件中形成超链接。</w:t>
            </w:r>
          </w:p>
          <w:p w14:paraId="1F446311">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color w:val="000000" w:themeColor="text1"/>
                <w:spacing w:val="0"/>
                <w:sz w:val="21"/>
                <w:szCs w:val="21"/>
                <w:highlight w:val="none"/>
                <w14:textFill>
                  <w14:solidFill>
                    <w14:schemeClr w14:val="tx1"/>
                  </w14:solidFill>
                </w14:textFill>
              </w:rPr>
            </w:pPr>
            <w:r>
              <w:rPr>
                <w:rFonts w:hint="eastAsia"/>
                <w:b/>
                <w:bCs/>
                <w:color w:val="000000" w:themeColor="text1"/>
                <w:spacing w:val="0"/>
                <w:sz w:val="21"/>
                <w:szCs w:val="21"/>
                <w:highlight w:val="none"/>
                <w:lang w:val="en-US" w:eastAsia="zh-CN"/>
                <w14:textFill>
                  <w14:solidFill>
                    <w14:schemeClr w14:val="tx1"/>
                  </w14:solidFill>
                </w14:textFill>
              </w:rPr>
              <w:t>2、</w:t>
            </w:r>
            <w:r>
              <w:rPr>
                <w:b/>
                <w:bCs/>
                <w:color w:val="000000" w:themeColor="text1"/>
                <w:spacing w:val="0"/>
                <w:sz w:val="21"/>
                <w:szCs w:val="21"/>
                <w:highlight w:val="none"/>
                <w14:textFill>
                  <w14:solidFill>
                    <w14:schemeClr w14:val="tx1"/>
                  </w14:solidFill>
                </w14:textFill>
              </w:rPr>
              <w:t>当主要人员个人业绩为在非投标人单位任职期间个人业绩时，</w:t>
            </w:r>
            <w:r>
              <w:rPr>
                <w:color w:val="000000" w:themeColor="text1"/>
                <w:spacing w:val="0"/>
                <w:sz w:val="21"/>
                <w:szCs w:val="21"/>
                <w:highlight w:val="none"/>
                <w14:textFill>
                  <w14:solidFill>
                    <w14:schemeClr w14:val="tx1"/>
                  </w14:solidFill>
                </w14:textFill>
              </w:rPr>
              <w:t>投标人应提供满足下述要求的业绩证明材料：</w:t>
            </w:r>
          </w:p>
          <w:p w14:paraId="5D193115">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color w:val="000000" w:themeColor="text1"/>
                <w:spacing w:val="0"/>
                <w:sz w:val="21"/>
                <w:szCs w:val="21"/>
                <w:highlight w:val="none"/>
                <w14:textFill>
                  <w14:solidFill>
                    <w14:schemeClr w14:val="tx1"/>
                  </w14:solidFill>
                </w14:textFill>
              </w:rPr>
            </w:pPr>
            <w:r>
              <w:rPr>
                <w:color w:val="000000" w:themeColor="text1"/>
                <w:spacing w:val="0"/>
                <w:sz w:val="21"/>
                <w:szCs w:val="21"/>
                <w:highlight w:val="none"/>
                <w14:textFill>
                  <w14:solidFill>
                    <w14:schemeClr w14:val="tx1"/>
                  </w14:solidFill>
                </w14:textFill>
              </w:rPr>
              <w:t>(1)</w:t>
            </w:r>
            <w:r>
              <w:rPr>
                <w:b/>
                <w:bCs/>
                <w:color w:val="000000" w:themeColor="text1"/>
                <w:spacing w:val="0"/>
                <w:sz w:val="21"/>
                <w:szCs w:val="21"/>
                <w:highlight w:val="none"/>
                <w14:textFill>
                  <w14:solidFill>
                    <w14:schemeClr w14:val="tx1"/>
                  </w14:solidFill>
                </w14:textFill>
              </w:rPr>
              <w:t>如该业绩所属单位是列入交通运输部主办的“全国公路建设市场监督管理系统”中的从</w:t>
            </w:r>
            <w:r>
              <w:rPr>
                <w:color w:val="000000" w:themeColor="text1"/>
                <w:spacing w:val="0"/>
                <w:sz w:val="21"/>
                <w:szCs w:val="21"/>
                <w:highlight w:val="none"/>
                <w14:textFill>
                  <w14:solidFill>
                    <w14:schemeClr w14:val="tx1"/>
                  </w14:solidFill>
                </w14:textFill>
              </w:rPr>
              <w:t>业</w:t>
            </w:r>
            <w:r>
              <w:rPr>
                <w:b/>
                <w:bCs/>
                <w:color w:val="000000" w:themeColor="text1"/>
                <w:spacing w:val="0"/>
                <w:sz w:val="21"/>
                <w:szCs w:val="21"/>
                <w:highlight w:val="none"/>
                <w14:textFill>
                  <w14:solidFill>
                    <w14:schemeClr w14:val="tx1"/>
                  </w14:solidFill>
                </w14:textFill>
              </w:rPr>
              <w:t>单位</w:t>
            </w:r>
            <w:r>
              <w:rPr>
                <w:color w:val="000000" w:themeColor="text1"/>
                <w:spacing w:val="0"/>
                <w:sz w:val="21"/>
                <w:szCs w:val="21"/>
                <w:highlight w:val="none"/>
                <w14:textFill>
                  <w14:solidFill>
                    <w14:schemeClr w14:val="tx1"/>
                  </w14:solidFill>
                </w14:textFill>
              </w:rPr>
              <w:t xml:space="preserve"> </w:t>
            </w:r>
            <w:r>
              <w:rPr>
                <w:b/>
                <w:bCs/>
                <w:color w:val="000000" w:themeColor="text1"/>
                <w:spacing w:val="0"/>
                <w:sz w:val="21"/>
                <w:szCs w:val="21"/>
                <w:highlight w:val="none"/>
                <w14:textFill>
                  <w14:solidFill>
                    <w14:schemeClr w14:val="tx1"/>
                  </w14:solidFill>
                </w14:textFill>
              </w:rPr>
              <w:t>，</w:t>
            </w:r>
            <w:r>
              <w:rPr>
                <w:color w:val="000000" w:themeColor="text1"/>
                <w:spacing w:val="0"/>
                <w:sz w:val="21"/>
                <w:szCs w:val="21"/>
                <w:highlight w:val="none"/>
                <w14:textFill>
                  <w14:solidFill>
                    <w14:schemeClr w14:val="tx1"/>
                  </w14:solidFill>
                </w14:textFill>
              </w:rPr>
              <w:t>则投标人填报的主要人员个人业绩应是已列入省级及以上交通运输主管部门主办的“公路建设市场监督管理系统”并公开的业绩，且应提供在“公路建设市场监督管理系统”中查询到的相关项目网页截图彩色影印件，即包括主要人员个人业绩的考核指标在内的项目详细信息网页截图彩色影印件。除网页截图彩色影印件外，其余业绩材料体现的但系统网站中未载明的信息在评审时均不予采信。</w:t>
            </w:r>
          </w:p>
          <w:p w14:paraId="0C07C8B6">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color w:val="000000" w:themeColor="text1"/>
                <w:spacing w:val="0"/>
                <w:sz w:val="21"/>
                <w:szCs w:val="21"/>
                <w:highlight w:val="none"/>
                <w14:textFill>
                  <w14:solidFill>
                    <w14:schemeClr w14:val="tx1"/>
                  </w14:solidFill>
                </w14:textFill>
              </w:rPr>
            </w:pPr>
            <w:r>
              <w:rPr>
                <w:color w:val="000000" w:themeColor="text1"/>
                <w:spacing w:val="0"/>
                <w:sz w:val="21"/>
                <w:szCs w:val="21"/>
                <w:highlight w:val="none"/>
                <w14:textFill>
                  <w14:solidFill>
                    <w14:schemeClr w14:val="tx1"/>
                  </w14:solidFill>
                </w14:textFill>
              </w:rPr>
              <w:t>如投标人未提供相关项目网页截图彩色影印件或相关项目网页截图中的信息无法证实个人业绩的考核指标，则该项目业绩在评审时不予认定。</w:t>
            </w:r>
          </w:p>
          <w:p w14:paraId="28D8C141">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color w:val="000000" w:themeColor="text1"/>
                <w:spacing w:val="0"/>
                <w:sz w:val="24"/>
                <w:szCs w:val="24"/>
                <w:highlight w:val="none"/>
                <w14:textFill>
                  <w14:solidFill>
                    <w14:schemeClr w14:val="tx1"/>
                  </w14:solidFill>
                </w14:textFill>
              </w:rPr>
            </w:pPr>
            <w:r>
              <w:rPr>
                <w:color w:val="000000" w:themeColor="text1"/>
                <w:spacing w:val="0"/>
                <w:sz w:val="21"/>
                <w:szCs w:val="21"/>
                <w:highlight w:val="none"/>
                <w14:textFill>
                  <w14:solidFill>
                    <w14:schemeClr w14:val="tx1"/>
                  </w14:solidFill>
                </w14:textFill>
              </w:rPr>
              <w:t>(2)</w:t>
            </w:r>
            <w:r>
              <w:rPr>
                <w:b/>
                <w:bCs/>
                <w:color w:val="000000" w:themeColor="text1"/>
                <w:spacing w:val="0"/>
                <w:sz w:val="21"/>
                <w:szCs w:val="21"/>
                <w:highlight w:val="none"/>
                <w14:textFill>
                  <w14:solidFill>
                    <w14:schemeClr w14:val="tx1"/>
                  </w14:solidFill>
                </w14:textFill>
              </w:rPr>
              <w:t>如该业绩所属单位未列入交通运输部主办的“全国公路建设市场监督管理系统”,</w:t>
            </w:r>
            <w:r>
              <w:rPr>
                <w:color w:val="000000" w:themeColor="text1"/>
                <w:spacing w:val="0"/>
                <w:sz w:val="21"/>
                <w:szCs w:val="21"/>
                <w:highlight w:val="none"/>
                <w14:textFill>
                  <w14:solidFill>
                    <w14:schemeClr w14:val="tx1"/>
                  </w14:solidFill>
                </w14:textFill>
              </w:rPr>
              <w:t>则主要</w:t>
            </w:r>
            <w:r>
              <w:rPr>
                <w:b/>
                <w:bCs/>
                <w:color w:val="000000" w:themeColor="text1"/>
                <w:spacing w:val="0"/>
                <w:sz w:val="21"/>
                <w:szCs w:val="21"/>
                <w:highlight w:val="none"/>
                <w14:textFill>
                  <w14:solidFill>
                    <w14:schemeClr w14:val="tx1"/>
                  </w14:solidFill>
                </w14:textFill>
              </w:rPr>
              <w:t>人员个人业绩及其考核指标以个人业绩证明材料(个人业绩证明材料是指：中标通知书或合同协议书或工程验收证书或项目业主&lt;或项目所在地交通运输主管部门&gt;开具的加盖公章的履约证明)中载明的信息为准，</w:t>
            </w:r>
            <w:r>
              <w:rPr>
                <w:color w:val="000000" w:themeColor="text1"/>
                <w:spacing w:val="0"/>
                <w:sz w:val="21"/>
                <w:szCs w:val="21"/>
                <w:highlight w:val="none"/>
                <w14:textFill>
                  <w14:solidFill>
                    <w14:schemeClr w14:val="tx1"/>
                  </w14:solidFill>
                </w14:textFill>
              </w:rPr>
              <w:t>且应提供个人业绩证明材料的彩色影印件。如投标人未按要求提供个人业绩证明材料或个人业绩证明材料中的信息无法证实个人业绩的考核指标则该项目业绩在评审时不予认定。</w:t>
            </w:r>
          </w:p>
        </w:tc>
      </w:tr>
      <w:bookmarkEnd w:id="7"/>
      <w:bookmarkEnd w:id="8"/>
    </w:tbl>
    <w:p w14:paraId="2DFF0C09">
      <w:pPr>
        <w:pageBreakBefore w:val="0"/>
        <w:kinsoku/>
        <w:wordWrap w:val="0"/>
        <w:bidi w:val="0"/>
        <w:spacing w:line="400" w:lineRule="atLeast"/>
        <w:ind w:firstLine="480" w:firstLineChars="200"/>
        <w:rPr>
          <w:rFonts w:hint="default" w:ascii="Times New Roman" w:hAnsi="Times New Roman" w:eastAsia="隶书" w:cs="Times New Roman"/>
          <w:color w:val="000000" w:themeColor="text1"/>
          <w:sz w:val="24"/>
          <w:highlight w:val="none"/>
          <w14:textFill>
            <w14:solidFill>
              <w14:schemeClr w14:val="tx1"/>
            </w14:solidFill>
          </w14:textFill>
        </w:rPr>
        <w:sectPr>
          <w:headerReference r:id="rId8" w:type="default"/>
          <w:footerReference r:id="rId9" w:type="default"/>
          <w:footnotePr>
            <w:numFmt w:val="decimalEnclosedCircleChinese"/>
            <w:numRestart w:val="eachPage"/>
          </w:footnotePr>
          <w:pgSz w:w="11907" w:h="16840"/>
          <w:pgMar w:top="1588" w:right="1588" w:bottom="1474" w:left="1644" w:header="851" w:footer="851" w:gutter="0"/>
          <w:pgBorders>
            <w:top w:val="none" w:sz="0" w:space="0"/>
            <w:left w:val="none" w:sz="0" w:space="0"/>
            <w:bottom w:val="none" w:sz="0" w:space="0"/>
            <w:right w:val="none" w:sz="0" w:space="0"/>
          </w:pgBorders>
          <w:pgNumType w:fmt="decimal"/>
          <w:cols w:space="720" w:num="1"/>
          <w:docGrid w:linePitch="312" w:charSpace="0"/>
        </w:sectPr>
      </w:pPr>
    </w:p>
    <w:bookmarkEnd w:id="3"/>
    <w:p w14:paraId="70E2483A">
      <w:pPr>
        <w:pStyle w:val="2"/>
        <w:keepNext/>
        <w:keepLines/>
        <w:pageBreakBefore w:val="0"/>
        <w:widowControl w:val="0"/>
        <w:kinsoku/>
        <w:wordWrap w:val="0"/>
        <w:overflowPunct/>
        <w:topLinePunct w:val="0"/>
        <w:autoSpaceDE/>
        <w:autoSpaceDN/>
        <w:bidi w:val="0"/>
        <w:adjustRightInd/>
        <w:snapToGrid/>
        <w:spacing w:before="0" w:after="0" w:line="300" w:lineRule="atLeast"/>
        <w:textAlignment w:val="auto"/>
        <w:outlineLvl w:val="1"/>
        <w:rPr>
          <w:rFonts w:hint="default" w:ascii="Times New Roman" w:hAnsi="Times New Roman" w:eastAsia="黑体" w:cs="Times New Roman"/>
          <w:b w:val="0"/>
          <w:color w:val="000000" w:themeColor="text1"/>
          <w:sz w:val="28"/>
          <w:szCs w:val="28"/>
          <w:highlight w:val="none"/>
          <w14:textFill>
            <w14:solidFill>
              <w14:schemeClr w14:val="tx1"/>
            </w14:solidFill>
          </w14:textFill>
        </w:rPr>
      </w:pPr>
      <w:bookmarkStart w:id="11" w:name="_Toc24125"/>
      <w:bookmarkStart w:id="12" w:name="_Toc22890"/>
      <w:bookmarkStart w:id="13" w:name="_Toc6233"/>
      <w:bookmarkStart w:id="14" w:name="_Toc234832953"/>
      <w:r>
        <w:rPr>
          <w:rFonts w:hint="default" w:ascii="Times New Roman" w:hAnsi="Times New Roman" w:eastAsia="黑体" w:cs="Times New Roman"/>
          <w:b w:val="0"/>
          <w:color w:val="000000" w:themeColor="text1"/>
          <w:sz w:val="28"/>
          <w:szCs w:val="28"/>
          <w:highlight w:val="none"/>
          <w14:textFill>
            <w14:solidFill>
              <w14:schemeClr w14:val="tx1"/>
            </w14:solidFill>
          </w14:textFill>
        </w:rPr>
        <w:t>1. 评标方法</w:t>
      </w:r>
      <w:bookmarkEnd w:id="11"/>
    </w:p>
    <w:p w14:paraId="3077AD9C">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本次评标采用技术评分</w:t>
      </w:r>
      <w:r>
        <w:rPr>
          <w:rFonts w:hint="eastAsia" w:cs="Times New Roman"/>
          <w:color w:val="000000" w:themeColor="text1"/>
          <w:sz w:val="24"/>
          <w:highlight w:val="none"/>
          <w:lang w:val="en-US" w:eastAsia="zh-CN"/>
          <w14:textFill>
            <w14:solidFill>
              <w14:schemeClr w14:val="tx1"/>
            </w14:solidFill>
          </w14:textFill>
        </w:rPr>
        <w:t>合理</w:t>
      </w:r>
      <w:r>
        <w:rPr>
          <w:rFonts w:hint="default" w:ascii="Times New Roman" w:hAnsi="Times New Roman" w:eastAsia="宋体" w:cs="Times New Roman"/>
          <w:color w:val="000000" w:themeColor="text1"/>
          <w:sz w:val="24"/>
          <w:highlight w:val="none"/>
          <w14:textFill>
            <w14:solidFill>
              <w14:schemeClr w14:val="tx1"/>
            </w14:solidFill>
          </w14:textFill>
        </w:rPr>
        <w:t>低标价法。评标委员会对满足招标文件实质性要求的</w:t>
      </w:r>
      <w:r>
        <w:rPr>
          <w:rFonts w:hint="eastAsia" w:cs="Times New Roman"/>
          <w:color w:val="000000" w:themeColor="text1"/>
          <w:sz w:val="24"/>
          <w:highlight w:val="none"/>
          <w:lang w:val="en-US" w:eastAsia="zh-CN"/>
          <w14:textFill>
            <w14:solidFill>
              <w14:schemeClr w14:val="tx1"/>
            </w14:solidFill>
          </w14:textFill>
        </w:rPr>
        <w:t>第一信</w:t>
      </w:r>
      <w:r>
        <w:rPr>
          <w:rFonts w:hint="default" w:cs="Times New Roman"/>
          <w:color w:val="000000" w:themeColor="text1"/>
          <w:sz w:val="24"/>
          <w:highlight w:val="none"/>
          <w:lang w:val="en-US" w:eastAsia="zh-CN"/>
          <w14:textFill>
            <w14:solidFill>
              <w14:schemeClr w14:val="tx1"/>
            </w14:solidFill>
          </w14:textFill>
        </w:rPr>
        <w:t>封</w:t>
      </w:r>
      <w:r>
        <w:rPr>
          <w:rFonts w:hint="default" w:ascii="Times New Roman" w:hAnsi="Times New Roman" w:eastAsia="宋体" w:cs="Times New Roman"/>
          <w:b w:val="0"/>
          <w:color w:val="000000" w:themeColor="text1"/>
          <w:sz w:val="24"/>
          <w:szCs w:val="24"/>
          <w:highlight w:val="none"/>
          <w14:textFill>
            <w14:solidFill>
              <w14:schemeClr w14:val="tx1"/>
            </w14:solidFill>
          </w14:textFill>
        </w:rPr>
        <w:t>商务及技术文件</w:t>
      </w:r>
      <w:r>
        <w:rPr>
          <w:rFonts w:hint="default" w:ascii="Times New Roman" w:hAnsi="Times New Roman" w:eastAsia="宋体" w:cs="Times New Roman"/>
          <w:color w:val="000000" w:themeColor="text1"/>
          <w:sz w:val="24"/>
          <w:highlight w:val="none"/>
          <w14:textFill>
            <w14:solidFill>
              <w14:schemeClr w14:val="tx1"/>
            </w14:solidFill>
          </w14:textFill>
        </w:rPr>
        <w:t>的施工组织设计、主要人员、技术能力</w:t>
      </w:r>
      <w:r>
        <w:rPr>
          <w:rFonts w:hint="eastAsia" w:cs="Times New Roman"/>
          <w:color w:val="000000" w:themeColor="text1"/>
          <w:sz w:val="24"/>
          <w:highlight w:val="none"/>
          <w:lang w:eastAsia="zh-CN"/>
          <w14:textFill>
            <w14:solidFill>
              <w14:schemeClr w14:val="tx1"/>
            </w14:solidFill>
          </w14:textFill>
        </w:rPr>
        <w:t>、履约信誉</w:t>
      </w:r>
      <w:r>
        <w:rPr>
          <w:rFonts w:hint="default" w:ascii="Times New Roman" w:hAnsi="Times New Roman" w:eastAsia="宋体" w:cs="Times New Roman"/>
          <w:color w:val="000000" w:themeColor="text1"/>
          <w:sz w:val="24"/>
          <w:highlight w:val="none"/>
          <w14:textFill>
            <w14:solidFill>
              <w14:schemeClr w14:val="tx1"/>
            </w14:solidFill>
          </w14:textFill>
        </w:rPr>
        <w:t>等因素进行评分，按照得分由高到低排序，对排名在招标文件规定数量以内的投标人的报价文件进行评审</w:t>
      </w:r>
      <w:r>
        <w:rPr>
          <w:rFonts w:hint="eastAsia" w:cs="Times New Roman"/>
          <w:color w:val="000000" w:themeColor="text1"/>
          <w:sz w:val="24"/>
          <w:highlight w:val="none"/>
          <w:lang w:val="en-US" w:eastAsia="zh-CN"/>
          <w14:textFill>
            <w14:solidFill>
              <w14:schemeClr w14:val="tx1"/>
            </w14:solidFill>
          </w14:textFill>
        </w:rPr>
        <w:t>，按照评标价得分</w:t>
      </w:r>
      <w:r>
        <w:rPr>
          <w:rFonts w:hint="default" w:ascii="Times New Roman" w:hAnsi="Times New Roman" w:eastAsia="宋体" w:cs="Times New Roman"/>
          <w:color w:val="000000" w:themeColor="text1"/>
          <w:sz w:val="24"/>
          <w:highlight w:val="none"/>
          <w14:textFill>
            <w14:solidFill>
              <w14:schemeClr w14:val="tx1"/>
            </w14:solidFill>
          </w14:textFill>
        </w:rPr>
        <w:t>由</w:t>
      </w:r>
      <w:r>
        <w:rPr>
          <w:rFonts w:hint="eastAsia" w:cs="Times New Roman"/>
          <w:color w:val="000000" w:themeColor="text1"/>
          <w:sz w:val="24"/>
          <w:highlight w:val="none"/>
          <w:lang w:val="en-US" w:eastAsia="zh-CN"/>
          <w14:textFill>
            <w14:solidFill>
              <w14:schemeClr w14:val="tx1"/>
            </w14:solidFill>
          </w14:textFill>
        </w:rPr>
        <w:t>高</w:t>
      </w:r>
      <w:r>
        <w:rPr>
          <w:rFonts w:hint="default" w:ascii="Times New Roman" w:hAnsi="Times New Roman" w:eastAsia="宋体" w:cs="Times New Roman"/>
          <w:color w:val="000000" w:themeColor="text1"/>
          <w:sz w:val="24"/>
          <w:highlight w:val="none"/>
          <w14:textFill>
            <w14:solidFill>
              <w14:schemeClr w14:val="tx1"/>
            </w14:solidFill>
          </w14:textFill>
        </w:rPr>
        <w:t>到</w:t>
      </w:r>
      <w:r>
        <w:rPr>
          <w:rFonts w:hint="eastAsia" w:cs="Times New Roman"/>
          <w:color w:val="000000" w:themeColor="text1"/>
          <w:sz w:val="24"/>
          <w:highlight w:val="none"/>
          <w:lang w:val="en-US" w:eastAsia="zh-CN"/>
          <w14:textFill>
            <w14:solidFill>
              <w14:schemeClr w14:val="tx1"/>
            </w14:solidFill>
          </w14:textFill>
        </w:rPr>
        <w:t>低</w:t>
      </w:r>
      <w:r>
        <w:rPr>
          <w:rFonts w:hint="default" w:ascii="Times New Roman" w:hAnsi="Times New Roman" w:eastAsia="宋体" w:cs="Times New Roman"/>
          <w:color w:val="000000" w:themeColor="text1"/>
          <w:sz w:val="24"/>
          <w:highlight w:val="none"/>
          <w14:textFill>
            <w14:solidFill>
              <w14:schemeClr w14:val="tx1"/>
            </w14:solidFill>
          </w14:textFill>
        </w:rPr>
        <w:t>的顺序推荐中标候选人，或根据招标人授权直接确定中标人，但投标报价低于其成本的除外。评标价相等时，评标委员会应按照评标办法前附表规定的优先次序推荐中标候选人或确定中标人。</w:t>
      </w:r>
    </w:p>
    <w:p w14:paraId="2F8EEDDB">
      <w:pPr>
        <w:pStyle w:val="2"/>
        <w:pageBreakBefore w:val="0"/>
        <w:kinsoku/>
        <w:wordWrap w:val="0"/>
        <w:bidi w:val="0"/>
        <w:spacing w:before="360" w:after="240" w:line="240" w:lineRule="atLeast"/>
        <w:outlineLvl w:val="1"/>
        <w:rPr>
          <w:rFonts w:hint="default" w:ascii="Times New Roman" w:hAnsi="Times New Roman" w:eastAsia="黑体" w:cs="Times New Roman"/>
          <w:b w:val="0"/>
          <w:color w:val="000000" w:themeColor="text1"/>
          <w:sz w:val="28"/>
          <w:szCs w:val="28"/>
          <w:highlight w:val="none"/>
          <w14:textFill>
            <w14:solidFill>
              <w14:schemeClr w14:val="tx1"/>
            </w14:solidFill>
          </w14:textFill>
        </w:rPr>
      </w:pPr>
      <w:bookmarkStart w:id="15" w:name="_Toc19858"/>
      <w:r>
        <w:rPr>
          <w:rFonts w:hint="default" w:ascii="Times New Roman" w:hAnsi="Times New Roman" w:eastAsia="黑体" w:cs="Times New Roman"/>
          <w:b w:val="0"/>
          <w:color w:val="000000" w:themeColor="text1"/>
          <w:sz w:val="28"/>
          <w:szCs w:val="28"/>
          <w:highlight w:val="none"/>
          <w14:textFill>
            <w14:solidFill>
              <w14:schemeClr w14:val="tx1"/>
            </w14:solidFill>
          </w14:textFill>
        </w:rPr>
        <w:t>2. 评审标准</w:t>
      </w:r>
      <w:bookmarkEnd w:id="15"/>
    </w:p>
    <w:p w14:paraId="2289E3C3">
      <w:pPr>
        <w:pStyle w:val="2"/>
        <w:pageBreakBefore w:val="0"/>
        <w:kinsoku/>
        <w:wordWrap w:val="0"/>
        <w:bidi w:val="0"/>
        <w:spacing w:before="240" w:after="240" w:line="240" w:lineRule="atLeast"/>
        <w:outlineLvl w:val="2"/>
        <w:rPr>
          <w:rFonts w:hint="default" w:ascii="Times New Roman" w:hAnsi="Times New Roman" w:eastAsia="黑体" w:cs="Times New Roman"/>
          <w:b w:val="0"/>
          <w:color w:val="000000" w:themeColor="text1"/>
          <w:sz w:val="24"/>
          <w:szCs w:val="24"/>
          <w:highlight w:val="none"/>
          <w14:textFill>
            <w14:solidFill>
              <w14:schemeClr w14:val="tx1"/>
            </w14:solidFill>
          </w14:textFill>
        </w:rPr>
      </w:pPr>
      <w:bookmarkStart w:id="16" w:name="_Toc23069"/>
      <w:r>
        <w:rPr>
          <w:rFonts w:hint="default" w:ascii="Times New Roman" w:hAnsi="Times New Roman" w:eastAsia="黑体" w:cs="Times New Roman"/>
          <w:b w:val="0"/>
          <w:color w:val="000000" w:themeColor="text1"/>
          <w:sz w:val="24"/>
          <w:szCs w:val="24"/>
          <w:highlight w:val="none"/>
          <w14:textFill>
            <w14:solidFill>
              <w14:schemeClr w14:val="tx1"/>
            </w14:solidFill>
          </w14:textFill>
        </w:rPr>
        <w:t>2.1 初步评审标准</w:t>
      </w:r>
      <w:bookmarkEnd w:id="16"/>
    </w:p>
    <w:p w14:paraId="2851E14F">
      <w:pPr>
        <w:pageBreakBefore w:val="0"/>
        <w:kinsoku/>
        <w:wordWrap w:val="0"/>
        <w:bidi w:val="0"/>
        <w:spacing w:line="400" w:lineRule="atLeast"/>
        <w:ind w:firstLine="480" w:firstLineChars="200"/>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2.1.1 形式评审标准：见评标办法前附表。</w:t>
      </w:r>
    </w:p>
    <w:p w14:paraId="53AA7A78">
      <w:pPr>
        <w:pageBreakBefore w:val="0"/>
        <w:kinsoku/>
        <w:wordWrap w:val="0"/>
        <w:bidi w:val="0"/>
        <w:spacing w:line="400" w:lineRule="atLeast"/>
        <w:ind w:firstLine="480" w:firstLineChars="200"/>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2.1.2 资格评审标准：见评标办法前附表。</w:t>
      </w:r>
    </w:p>
    <w:p w14:paraId="010FA40F">
      <w:pPr>
        <w:pageBreakBefore w:val="0"/>
        <w:kinsoku/>
        <w:wordWrap w:val="0"/>
        <w:bidi w:val="0"/>
        <w:spacing w:line="400" w:lineRule="atLeast"/>
        <w:ind w:firstLine="480" w:firstLineChars="200"/>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2.1.3 响应性评审标准：见评标办法前附表。</w:t>
      </w:r>
    </w:p>
    <w:p w14:paraId="685E0D06">
      <w:pPr>
        <w:pStyle w:val="2"/>
        <w:pageBreakBefore w:val="0"/>
        <w:kinsoku/>
        <w:wordWrap w:val="0"/>
        <w:bidi w:val="0"/>
        <w:spacing w:before="240" w:after="240" w:line="240" w:lineRule="atLeast"/>
        <w:outlineLvl w:val="2"/>
        <w:rPr>
          <w:rFonts w:hint="default" w:ascii="Times New Roman" w:hAnsi="Times New Roman" w:eastAsia="黑体" w:cs="Times New Roman"/>
          <w:b w:val="0"/>
          <w:color w:val="000000" w:themeColor="text1"/>
          <w:sz w:val="24"/>
          <w:szCs w:val="24"/>
          <w:highlight w:val="none"/>
          <w14:textFill>
            <w14:solidFill>
              <w14:schemeClr w14:val="tx1"/>
            </w14:solidFill>
          </w14:textFill>
        </w:rPr>
      </w:pPr>
      <w:bookmarkStart w:id="17" w:name="_Toc27465"/>
      <w:r>
        <w:rPr>
          <w:rFonts w:hint="default" w:ascii="Times New Roman" w:hAnsi="Times New Roman" w:eastAsia="黑体" w:cs="Times New Roman"/>
          <w:b w:val="0"/>
          <w:color w:val="000000" w:themeColor="text1"/>
          <w:sz w:val="24"/>
          <w:szCs w:val="24"/>
          <w:highlight w:val="none"/>
          <w14:textFill>
            <w14:solidFill>
              <w14:schemeClr w14:val="tx1"/>
            </w14:solidFill>
          </w14:textFill>
        </w:rPr>
        <w:t>2.2 分值构成与评分标准</w:t>
      </w:r>
      <w:bookmarkEnd w:id="17"/>
    </w:p>
    <w:p w14:paraId="339F310D">
      <w:pPr>
        <w:pageBreakBefore w:val="0"/>
        <w:tabs>
          <w:tab w:val="left" w:pos="360"/>
        </w:tabs>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 xml:space="preserve">2.2.1 </w:t>
      </w:r>
      <w:r>
        <w:rPr>
          <w:rFonts w:hint="default" w:ascii="Times New Roman" w:hAnsi="Times New Roman" w:eastAsia="宋体" w:cs="Times New Roman"/>
          <w:bCs/>
          <w:color w:val="000000" w:themeColor="text1"/>
          <w:kern w:val="44"/>
          <w:sz w:val="24"/>
          <w:highlight w:val="none"/>
          <w14:textFill>
            <w14:solidFill>
              <w14:schemeClr w14:val="tx1"/>
            </w14:solidFill>
          </w14:textFill>
        </w:rPr>
        <w:t>第一个信封评分</w:t>
      </w:r>
      <w:r>
        <w:rPr>
          <w:rFonts w:hint="default" w:ascii="Times New Roman" w:hAnsi="Times New Roman" w:eastAsia="宋体" w:cs="Times New Roman"/>
          <w:color w:val="000000" w:themeColor="text1"/>
          <w:sz w:val="24"/>
          <w:highlight w:val="none"/>
          <w14:textFill>
            <w14:solidFill>
              <w14:schemeClr w14:val="tx1"/>
            </w14:solidFill>
          </w14:textFill>
        </w:rPr>
        <w:t>分值构成</w:t>
      </w:r>
    </w:p>
    <w:p w14:paraId="6CE6E0B3">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（1）施工组织设计：见评标办法前附表；</w:t>
      </w:r>
    </w:p>
    <w:p w14:paraId="3CD96049">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（2）主要人员：见评标办法前附表；</w:t>
      </w:r>
    </w:p>
    <w:p w14:paraId="19E1BFA3">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（3）其他评分因素：见评标办法前附表。</w:t>
      </w:r>
    </w:p>
    <w:p w14:paraId="6E74EC7D">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 xml:space="preserve">2.2.2 </w:t>
      </w:r>
      <w:r>
        <w:rPr>
          <w:rFonts w:hint="default" w:ascii="Times New Roman" w:hAnsi="Times New Roman" w:eastAsia="宋体" w:cs="Times New Roman"/>
          <w:bCs/>
          <w:color w:val="000000" w:themeColor="text1"/>
          <w:kern w:val="44"/>
          <w:sz w:val="24"/>
          <w:highlight w:val="none"/>
          <w14:textFill>
            <w14:solidFill>
              <w14:schemeClr w14:val="tx1"/>
            </w14:solidFill>
          </w14:textFill>
        </w:rPr>
        <w:t>第一个信封评分</w:t>
      </w:r>
      <w:r>
        <w:rPr>
          <w:rFonts w:hint="default" w:ascii="Times New Roman" w:hAnsi="Times New Roman" w:eastAsia="宋体" w:cs="Times New Roman"/>
          <w:color w:val="000000" w:themeColor="text1"/>
          <w:sz w:val="24"/>
          <w:highlight w:val="none"/>
          <w14:textFill>
            <w14:solidFill>
              <w14:schemeClr w14:val="tx1"/>
            </w14:solidFill>
          </w14:textFill>
        </w:rPr>
        <w:t>评分标准</w:t>
      </w:r>
    </w:p>
    <w:p w14:paraId="74769D77">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（1）施工组织设计评分标准：见评标办法前附表；</w:t>
      </w:r>
    </w:p>
    <w:p w14:paraId="47DECDE8">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（2）主要人员评分标准：见评标办法前附表；</w:t>
      </w:r>
    </w:p>
    <w:p w14:paraId="15170E05">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（3）其他因素评分标准：见评标办法前附表。</w:t>
      </w:r>
    </w:p>
    <w:p w14:paraId="0AD413CA">
      <w:pPr>
        <w:pageBreakBefore w:val="0"/>
        <w:kinsoku/>
        <w:wordWrap w:val="0"/>
        <w:bidi w:val="0"/>
        <w:spacing w:line="400" w:lineRule="atLeast"/>
        <w:ind w:firstLine="480" w:firstLineChars="200"/>
        <w:rPr>
          <w:rFonts w:hint="eastAsia" w:cs="Times New Roman"/>
          <w:color w:val="000000" w:themeColor="text1"/>
          <w:sz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2.2.3 第二个信封评分分值构成及详细评审标准：见评标办法前附表</w:t>
      </w:r>
      <w:r>
        <w:rPr>
          <w:rFonts w:hint="eastAsia" w:cs="Times New Roman"/>
          <w:color w:val="000000" w:themeColor="text1"/>
          <w:sz w:val="24"/>
          <w:highlight w:val="none"/>
          <w:lang w:eastAsia="zh-CN"/>
          <w14:textFill>
            <w14:solidFill>
              <w14:schemeClr w14:val="tx1"/>
            </w14:solidFill>
          </w14:textFill>
        </w:rPr>
        <w:t>。</w:t>
      </w:r>
    </w:p>
    <w:p w14:paraId="71A805F0">
      <w:pPr>
        <w:pageBreakBefore w:val="0"/>
        <w:kinsoku/>
        <w:wordWrap w:val="0"/>
        <w:bidi w:val="0"/>
        <w:spacing w:line="400" w:lineRule="atLeast"/>
        <w:ind w:firstLine="480" w:firstLineChars="200"/>
        <w:rPr>
          <w:rFonts w:hint="default" w:ascii="Times New Roman" w:hAnsi="Times New Roman" w:eastAsia="宋体" w:cs="Times New Roman"/>
          <w:bCs/>
          <w:color w:val="000000" w:themeColor="text1"/>
          <w:kern w:val="44"/>
          <w:sz w:val="24"/>
          <w:highlight w:val="none"/>
          <w14:textFill>
            <w14:solidFill>
              <w14:schemeClr w14:val="tx1"/>
            </w14:solidFill>
          </w14:textFill>
        </w:rPr>
      </w:pPr>
      <w:r>
        <w:rPr>
          <w:rFonts w:hint="eastAsia" w:cs="Times New Roman"/>
          <w:color w:val="000000" w:themeColor="text1"/>
          <w:sz w:val="24"/>
          <w:highlight w:val="none"/>
          <w:lang w:val="en-US" w:eastAsia="zh-CN"/>
          <w14:textFill>
            <w14:solidFill>
              <w14:schemeClr w14:val="tx1"/>
            </w14:solidFill>
          </w14:textFill>
        </w:rPr>
        <w:t xml:space="preserve">2.2.4 </w:t>
      </w:r>
      <w:r>
        <w:rPr>
          <w:rFonts w:hint="default" w:ascii="Times New Roman" w:hAnsi="Times New Roman" w:eastAsia="宋体" w:cs="Times New Roman"/>
          <w:bCs/>
          <w:color w:val="000000" w:themeColor="text1"/>
          <w:kern w:val="44"/>
          <w:sz w:val="24"/>
          <w:highlight w:val="none"/>
          <w14:textFill>
            <w14:solidFill>
              <w14:schemeClr w14:val="tx1"/>
            </w14:solidFill>
          </w14:textFill>
        </w:rPr>
        <w:t>评标基准价计算</w:t>
      </w:r>
    </w:p>
    <w:p w14:paraId="60BC9E01">
      <w:pPr>
        <w:pageBreakBefore w:val="0"/>
        <w:kinsoku/>
        <w:wordWrap w:val="0"/>
        <w:bidi w:val="0"/>
        <w:spacing w:line="400" w:lineRule="atLeast"/>
        <w:ind w:firstLine="480" w:firstLineChars="200"/>
        <w:rPr>
          <w:rFonts w:hint="eastAsia" w:cs="Times New Roman"/>
          <w:color w:val="000000" w:themeColor="text1"/>
          <w:sz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评标基准价计算方法：见评标办法前附表</w:t>
      </w:r>
      <w:r>
        <w:rPr>
          <w:rFonts w:hint="eastAsia" w:cs="Times New Roman"/>
          <w:color w:val="000000" w:themeColor="text1"/>
          <w:sz w:val="24"/>
          <w:highlight w:val="none"/>
          <w:lang w:eastAsia="zh-CN"/>
          <w14:textFill>
            <w14:solidFill>
              <w14:schemeClr w14:val="tx1"/>
            </w14:solidFill>
          </w14:textFill>
        </w:rPr>
        <w:t>。</w:t>
      </w:r>
    </w:p>
    <w:p w14:paraId="33AC6CAB">
      <w:pPr>
        <w:wordWrap w:val="0"/>
        <w:spacing w:line="400" w:lineRule="atLeast"/>
        <w:ind w:firstLine="480" w:firstLineChars="200"/>
        <w:rPr>
          <w:rFonts w:hint="eastAsia" w:ascii="Times New Roman" w:hAnsi="Times New Roman" w:eastAsia="宋体" w:cs="Times New Roman"/>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highlight w:val="none"/>
          <w14:textFill>
            <w14:solidFill>
              <w14:schemeClr w14:val="tx1"/>
            </w14:solidFill>
          </w14:textFill>
        </w:rPr>
        <w:t>2.2.</w:t>
      </w:r>
      <w:r>
        <w:rPr>
          <w:rFonts w:hint="eastAsia" w:cs="Times New Roman"/>
          <w:color w:val="000000" w:themeColor="text1"/>
          <w:sz w:val="24"/>
          <w:highlight w:val="none"/>
          <w:lang w:eastAsia="zh-CN"/>
          <w14:textFill>
            <w14:solidFill>
              <w14:schemeClr w14:val="tx1"/>
            </w14:solidFill>
          </w14:textFill>
        </w:rPr>
        <w:t>5</w:t>
      </w:r>
      <w:r>
        <w:rPr>
          <w:rFonts w:hint="eastAsia" w:ascii="Times New Roman" w:hAnsi="Times New Roman" w:eastAsia="宋体" w:cs="Times New Roman"/>
          <w:color w:val="000000" w:themeColor="text1"/>
          <w:sz w:val="24"/>
          <w:highlight w:val="none"/>
          <w14:textFill>
            <w14:solidFill>
              <w14:schemeClr w14:val="tx1"/>
            </w14:solidFill>
          </w14:textFill>
        </w:rPr>
        <w:t xml:space="preserve"> 评标价的偏差率计算</w:t>
      </w:r>
    </w:p>
    <w:p w14:paraId="2E4993D9">
      <w:pPr>
        <w:pageBreakBefore w:val="0"/>
        <w:kinsoku/>
        <w:wordWrap w:val="0"/>
        <w:bidi w:val="0"/>
        <w:spacing w:line="400" w:lineRule="atLeast"/>
        <w:ind w:firstLine="480" w:firstLineChars="200"/>
        <w:rPr>
          <w:rFonts w:hint="eastAsia" w:cs="Times New Roman"/>
          <w:color w:val="000000" w:themeColor="text1"/>
          <w:sz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评标价的偏差率计算公式：见评标办法前附表</w:t>
      </w:r>
      <w:r>
        <w:rPr>
          <w:rFonts w:hint="eastAsia" w:cs="Times New Roman"/>
          <w:color w:val="000000" w:themeColor="text1"/>
          <w:sz w:val="24"/>
          <w:highlight w:val="none"/>
          <w:lang w:eastAsia="zh-CN"/>
          <w14:textFill>
            <w14:solidFill>
              <w14:schemeClr w14:val="tx1"/>
            </w14:solidFill>
          </w14:textFill>
        </w:rPr>
        <w:t>。</w:t>
      </w:r>
    </w:p>
    <w:p w14:paraId="35E511A5">
      <w:pPr>
        <w:pStyle w:val="2"/>
        <w:pageBreakBefore w:val="0"/>
        <w:kinsoku/>
        <w:wordWrap w:val="0"/>
        <w:bidi w:val="0"/>
        <w:spacing w:before="360" w:after="240" w:line="240" w:lineRule="atLeast"/>
        <w:outlineLvl w:val="1"/>
        <w:rPr>
          <w:rFonts w:hint="default" w:ascii="Times New Roman" w:hAnsi="Times New Roman" w:eastAsia="黑体" w:cs="Times New Roman"/>
          <w:b w:val="0"/>
          <w:color w:val="000000" w:themeColor="text1"/>
          <w:sz w:val="28"/>
          <w:szCs w:val="28"/>
          <w:highlight w:val="none"/>
          <w14:textFill>
            <w14:solidFill>
              <w14:schemeClr w14:val="tx1"/>
            </w14:solidFill>
          </w14:textFill>
        </w:rPr>
      </w:pPr>
      <w:bookmarkStart w:id="18" w:name="_Toc12617"/>
      <w:r>
        <w:rPr>
          <w:rFonts w:hint="default" w:ascii="Times New Roman" w:hAnsi="Times New Roman" w:eastAsia="黑体" w:cs="Times New Roman"/>
          <w:b w:val="0"/>
          <w:color w:val="000000" w:themeColor="text1"/>
          <w:sz w:val="28"/>
          <w:szCs w:val="28"/>
          <w:highlight w:val="none"/>
          <w14:textFill>
            <w14:solidFill>
              <w14:schemeClr w14:val="tx1"/>
            </w14:solidFill>
          </w14:textFill>
        </w:rPr>
        <w:t>3. 评标程序</w:t>
      </w:r>
      <w:bookmarkEnd w:id="18"/>
    </w:p>
    <w:p w14:paraId="3FC5AF28">
      <w:pPr>
        <w:pStyle w:val="2"/>
        <w:pageBreakBefore w:val="0"/>
        <w:kinsoku/>
        <w:wordWrap w:val="0"/>
        <w:bidi w:val="0"/>
        <w:spacing w:before="240" w:after="240" w:line="240" w:lineRule="atLeast"/>
        <w:outlineLvl w:val="2"/>
        <w:rPr>
          <w:rFonts w:hint="default" w:ascii="Times New Roman" w:hAnsi="Times New Roman" w:eastAsia="黑体" w:cs="Times New Roman"/>
          <w:b w:val="0"/>
          <w:color w:val="000000" w:themeColor="text1"/>
          <w:sz w:val="24"/>
          <w:szCs w:val="24"/>
          <w:highlight w:val="none"/>
          <w14:textFill>
            <w14:solidFill>
              <w14:schemeClr w14:val="tx1"/>
            </w14:solidFill>
          </w14:textFill>
        </w:rPr>
      </w:pPr>
      <w:bookmarkStart w:id="19" w:name="_Toc22767"/>
      <w:r>
        <w:rPr>
          <w:rFonts w:hint="default" w:ascii="Times New Roman" w:hAnsi="Times New Roman" w:eastAsia="黑体" w:cs="Times New Roman"/>
          <w:b w:val="0"/>
          <w:color w:val="000000" w:themeColor="text1"/>
          <w:sz w:val="24"/>
          <w:szCs w:val="24"/>
          <w:highlight w:val="none"/>
          <w14:textFill>
            <w14:solidFill>
              <w14:schemeClr w14:val="tx1"/>
            </w14:solidFill>
          </w14:textFill>
        </w:rPr>
        <w:t>3.1第一个信封初步评审</w:t>
      </w:r>
      <w:bookmarkEnd w:id="19"/>
    </w:p>
    <w:p w14:paraId="08FD2A0D">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3.1.1 评标委员会依据本章第2.1款规定的评审标准对投标文件第一个信封（商务及技术文件）进行初步评审。有一项不符合评审标准的，评标委员会应否决其投标。</w:t>
      </w:r>
    </w:p>
    <w:p w14:paraId="4A2ACB5E">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3.1.2 投标文件的标的、质量标准、工期等实质性要求和条件不得出现（存在）不利于招标人的偏差，否则，评标委员会应否决其投标。</w:t>
      </w:r>
    </w:p>
    <w:p w14:paraId="2639E741">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3.1.3 如果通过第一信封评审的有效投标不足3个，评标委员会应当对有效投标是否仍具有竞争性进行评审。评标委员会一致认为有效投标仍具有竞争性的，应当按规定的程序进行第二信封报价文件的评审，并在报告中予以说明。评标委员会对有效投标是否仍具备竞争性无法达成一致意见的，应当否决全部投标。</w:t>
      </w:r>
    </w:p>
    <w:p w14:paraId="64A629A4">
      <w:pPr>
        <w:pStyle w:val="2"/>
        <w:pageBreakBefore w:val="0"/>
        <w:kinsoku/>
        <w:wordWrap w:val="0"/>
        <w:bidi w:val="0"/>
        <w:spacing w:before="240" w:after="240" w:line="240" w:lineRule="atLeast"/>
        <w:outlineLvl w:val="2"/>
        <w:rPr>
          <w:rFonts w:hint="default" w:ascii="Times New Roman" w:hAnsi="Times New Roman" w:eastAsia="黑体" w:cs="Times New Roman"/>
          <w:b w:val="0"/>
          <w:color w:val="000000" w:themeColor="text1"/>
          <w:sz w:val="24"/>
          <w:szCs w:val="24"/>
          <w:highlight w:val="none"/>
          <w14:textFill>
            <w14:solidFill>
              <w14:schemeClr w14:val="tx1"/>
            </w14:solidFill>
          </w14:textFill>
        </w:rPr>
      </w:pPr>
      <w:bookmarkStart w:id="20" w:name="_Toc639"/>
      <w:r>
        <w:rPr>
          <w:rFonts w:hint="default" w:ascii="Times New Roman" w:hAnsi="Times New Roman" w:eastAsia="黑体" w:cs="Times New Roman"/>
          <w:b w:val="0"/>
          <w:color w:val="000000" w:themeColor="text1"/>
          <w:sz w:val="24"/>
          <w:szCs w:val="24"/>
          <w:highlight w:val="none"/>
          <w14:textFill>
            <w14:solidFill>
              <w14:schemeClr w14:val="tx1"/>
            </w14:solidFill>
          </w14:textFill>
        </w:rPr>
        <w:t>3.2</w:t>
      </w:r>
      <w:r>
        <w:rPr>
          <w:rFonts w:hint="default" w:ascii="Times New Roman" w:hAnsi="Times New Roman" w:eastAsia="黑体" w:cs="Times New Roman"/>
          <w:b w:val="0"/>
          <w:color w:val="000000" w:themeColor="text1"/>
          <w:sz w:val="24"/>
          <w:szCs w:val="24"/>
          <w:highlight w:val="none"/>
          <w:lang w:eastAsia="zh-CN"/>
          <w14:textFill>
            <w14:solidFill>
              <w14:schemeClr w14:val="tx1"/>
            </w14:solidFill>
          </w14:textFill>
        </w:rPr>
        <w:t xml:space="preserve"> </w:t>
      </w:r>
      <w:r>
        <w:rPr>
          <w:rFonts w:hint="default" w:ascii="Times New Roman" w:hAnsi="Times New Roman" w:eastAsia="黑体" w:cs="Times New Roman"/>
          <w:b w:val="0"/>
          <w:color w:val="000000" w:themeColor="text1"/>
          <w:sz w:val="24"/>
          <w:szCs w:val="24"/>
          <w:highlight w:val="none"/>
          <w14:textFill>
            <w14:solidFill>
              <w14:schemeClr w14:val="tx1"/>
            </w14:solidFill>
          </w14:textFill>
        </w:rPr>
        <w:t>第一个信封详细评审</w:t>
      </w:r>
      <w:bookmarkEnd w:id="20"/>
    </w:p>
    <w:p w14:paraId="1BD6779B">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3.2.1 评标委员会按本章第2.2款规定的量化因素和分值进行打分，并计算出各投标人的商务和技术得分。</w:t>
      </w:r>
    </w:p>
    <w:p w14:paraId="13A22A0E">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（1）按本章第2.2.2项（1）目规定的评审因素和分值对施工组织设计部分计算出得分A；</w:t>
      </w:r>
    </w:p>
    <w:p w14:paraId="51C5D4D2">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（2）按本章第2.2.2项（2）目规定的评审因素和分值对主要人员部分计算出得分B；</w:t>
      </w:r>
    </w:p>
    <w:p w14:paraId="7876D2B4">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（3）按本章第2.2.2项（3）目规定的评审因素和分值对其他部分计算出得分C。</w:t>
      </w:r>
    </w:p>
    <w:p w14:paraId="713CFC13">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3.2.2 投标人的商务和技术得分分值计算保留小数点后两位，小数点后第三位</w:t>
      </w:r>
      <w:r>
        <w:rPr>
          <w:rFonts w:hint="eastAsia" w:ascii="宋体" w:hAnsi="宋体" w:eastAsia="宋体" w:cs="宋体"/>
          <w:color w:val="000000" w:themeColor="text1"/>
          <w:sz w:val="24"/>
          <w:highlight w:val="none"/>
          <w14:textFill>
            <w14:solidFill>
              <w14:schemeClr w14:val="tx1"/>
            </w14:solidFill>
          </w14:textFill>
        </w:rPr>
        <w:t>“</w:t>
      </w:r>
      <w:r>
        <w:rPr>
          <w:rFonts w:hint="default" w:ascii="Times New Roman" w:hAnsi="Times New Roman" w:eastAsia="宋体" w:cs="Times New Roman"/>
          <w:color w:val="000000" w:themeColor="text1"/>
          <w:sz w:val="24"/>
          <w:highlight w:val="none"/>
          <w14:textFill>
            <w14:solidFill>
              <w14:schemeClr w14:val="tx1"/>
            </w14:solidFill>
          </w14:textFill>
        </w:rPr>
        <w:t>四舍五入</w:t>
      </w:r>
      <w:r>
        <w:rPr>
          <w:rFonts w:hint="eastAsia" w:ascii="宋体" w:hAnsi="宋体" w:eastAsia="宋体" w:cs="宋体"/>
          <w:color w:val="000000" w:themeColor="text1"/>
          <w:sz w:val="24"/>
          <w:highlight w:val="none"/>
          <w14:textFill>
            <w14:solidFill>
              <w14:schemeClr w14:val="tx1"/>
            </w14:solidFill>
          </w14:textFill>
        </w:rPr>
        <w:t>”</w:t>
      </w:r>
      <w:r>
        <w:rPr>
          <w:rFonts w:hint="default" w:ascii="Times New Roman" w:hAnsi="Times New Roman" w:eastAsia="宋体" w:cs="Times New Roman"/>
          <w:color w:val="000000" w:themeColor="text1"/>
          <w:sz w:val="24"/>
          <w:highlight w:val="none"/>
          <w14:textFill>
            <w14:solidFill>
              <w14:schemeClr w14:val="tx1"/>
            </w14:solidFill>
          </w14:textFill>
        </w:rPr>
        <w:t>。</w:t>
      </w:r>
    </w:p>
    <w:p w14:paraId="766DE1F7">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3.2.3 投标人的商务和技术得分=A+B+C。</w:t>
      </w:r>
    </w:p>
    <w:p w14:paraId="66353938">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3.2.4 评标委员会按照投标人的商务和技术得分由高到低排序，排名在评标办法前附表规定数量以内的投标人，其投标文件第一个信封（商务及技术文件）通过详细评审。</w:t>
      </w:r>
    </w:p>
    <w:p w14:paraId="0165286E">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3.2.5 通过投标文件第一个信封（商务及技术文件）初步评审的投标人不少于3个且未超过评标办法前附表第3.2.4项规定数量的，均通过投标文件第一个信封（商务及技术文件）详细评审，不再对投标人的商务和技术文件进行评分。</w:t>
      </w:r>
    </w:p>
    <w:p w14:paraId="6B3C64C4">
      <w:pPr>
        <w:pStyle w:val="2"/>
        <w:pageBreakBefore w:val="0"/>
        <w:kinsoku/>
        <w:wordWrap w:val="0"/>
        <w:bidi w:val="0"/>
        <w:spacing w:before="240" w:after="240" w:line="240" w:lineRule="atLeast"/>
        <w:outlineLvl w:val="2"/>
        <w:rPr>
          <w:rFonts w:hint="default" w:ascii="Times New Roman" w:hAnsi="Times New Roman" w:eastAsia="黑体" w:cs="Times New Roman"/>
          <w:b w:val="0"/>
          <w:color w:val="000000" w:themeColor="text1"/>
          <w:sz w:val="24"/>
          <w:szCs w:val="24"/>
          <w:highlight w:val="none"/>
          <w14:textFill>
            <w14:solidFill>
              <w14:schemeClr w14:val="tx1"/>
            </w14:solidFill>
          </w14:textFill>
        </w:rPr>
      </w:pPr>
      <w:bookmarkStart w:id="21" w:name="_Toc15352"/>
      <w:r>
        <w:rPr>
          <w:rFonts w:hint="default" w:ascii="Times New Roman" w:hAnsi="Times New Roman" w:eastAsia="黑体" w:cs="Times New Roman"/>
          <w:b w:val="0"/>
          <w:color w:val="000000" w:themeColor="text1"/>
          <w:sz w:val="24"/>
          <w:szCs w:val="24"/>
          <w:highlight w:val="none"/>
          <w14:textFill>
            <w14:solidFill>
              <w14:schemeClr w14:val="tx1"/>
            </w14:solidFill>
          </w14:textFill>
        </w:rPr>
        <w:t>3.3</w:t>
      </w:r>
      <w:r>
        <w:rPr>
          <w:rFonts w:hint="default" w:ascii="Times New Roman" w:hAnsi="Times New Roman" w:eastAsia="黑体" w:cs="Times New Roman"/>
          <w:b w:val="0"/>
          <w:color w:val="000000" w:themeColor="text1"/>
          <w:sz w:val="24"/>
          <w:szCs w:val="24"/>
          <w:highlight w:val="none"/>
          <w:lang w:eastAsia="zh-CN"/>
          <w14:textFill>
            <w14:solidFill>
              <w14:schemeClr w14:val="tx1"/>
            </w14:solidFill>
          </w14:textFill>
        </w:rPr>
        <w:t xml:space="preserve"> </w:t>
      </w:r>
      <w:r>
        <w:rPr>
          <w:rFonts w:hint="default" w:ascii="Times New Roman" w:hAnsi="Times New Roman" w:eastAsia="黑体" w:cs="Times New Roman"/>
          <w:b w:val="0"/>
          <w:color w:val="000000" w:themeColor="text1"/>
          <w:sz w:val="24"/>
          <w:szCs w:val="24"/>
          <w:highlight w:val="none"/>
          <w14:textFill>
            <w14:solidFill>
              <w14:schemeClr w14:val="tx1"/>
            </w14:solidFill>
          </w14:textFill>
        </w:rPr>
        <w:t>第二个信封开标</w:t>
      </w:r>
      <w:bookmarkEnd w:id="21"/>
    </w:p>
    <w:p w14:paraId="04BE3E88">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第一个信封（商务及技术文件）评审结束后，招标人将按照第二章</w:t>
      </w:r>
      <w:r>
        <w:rPr>
          <w:rFonts w:hint="eastAsia" w:ascii="宋体" w:hAnsi="宋体" w:eastAsia="宋体" w:cs="宋体"/>
          <w:color w:val="000000" w:themeColor="text1"/>
          <w:sz w:val="24"/>
          <w:highlight w:val="none"/>
          <w14:textFill>
            <w14:solidFill>
              <w14:schemeClr w14:val="tx1"/>
            </w14:solidFill>
          </w14:textFill>
        </w:rPr>
        <w:t>“</w:t>
      </w:r>
      <w:r>
        <w:rPr>
          <w:rFonts w:hint="default" w:ascii="Times New Roman" w:hAnsi="Times New Roman" w:eastAsia="宋体" w:cs="Times New Roman"/>
          <w:color w:val="000000" w:themeColor="text1"/>
          <w:sz w:val="24"/>
          <w:highlight w:val="none"/>
          <w14:textFill>
            <w14:solidFill>
              <w14:schemeClr w14:val="tx1"/>
            </w14:solidFill>
          </w14:textFill>
        </w:rPr>
        <w:t>投标人须知</w:t>
      </w:r>
      <w:r>
        <w:rPr>
          <w:rFonts w:hint="eastAsia" w:ascii="宋体" w:hAnsi="宋体" w:eastAsia="宋体" w:cs="宋体"/>
          <w:color w:val="000000" w:themeColor="text1"/>
          <w:sz w:val="24"/>
          <w:highlight w:val="none"/>
          <w14:textFill>
            <w14:solidFill>
              <w14:schemeClr w14:val="tx1"/>
            </w14:solidFill>
          </w14:textFill>
        </w:rPr>
        <w:t>”</w:t>
      </w:r>
      <w:r>
        <w:rPr>
          <w:rFonts w:hint="default" w:ascii="Times New Roman" w:hAnsi="Times New Roman" w:eastAsia="宋体" w:cs="Times New Roman"/>
          <w:color w:val="000000" w:themeColor="text1"/>
          <w:sz w:val="24"/>
          <w:highlight w:val="none"/>
          <w14:textFill>
            <w14:solidFill>
              <w14:schemeClr w14:val="tx1"/>
            </w14:solidFill>
          </w14:textFill>
        </w:rPr>
        <w:t>第5.1款规定的时间和地点对通过投标文件第一个信封（商务及技术文件）评审的投标文件第二个信封（报价文件）进行开标。</w:t>
      </w:r>
    </w:p>
    <w:p w14:paraId="2A772D29">
      <w:pPr>
        <w:pStyle w:val="2"/>
        <w:pageBreakBefore w:val="0"/>
        <w:kinsoku/>
        <w:wordWrap w:val="0"/>
        <w:bidi w:val="0"/>
        <w:spacing w:before="240" w:after="240" w:line="240" w:lineRule="atLeast"/>
        <w:outlineLvl w:val="2"/>
        <w:rPr>
          <w:rFonts w:hint="default" w:ascii="Times New Roman" w:hAnsi="Times New Roman" w:eastAsia="黑体" w:cs="Times New Roman"/>
          <w:b w:val="0"/>
          <w:color w:val="000000" w:themeColor="text1"/>
          <w:sz w:val="24"/>
          <w:szCs w:val="24"/>
          <w:highlight w:val="none"/>
          <w14:textFill>
            <w14:solidFill>
              <w14:schemeClr w14:val="tx1"/>
            </w14:solidFill>
          </w14:textFill>
        </w:rPr>
      </w:pPr>
      <w:bookmarkStart w:id="22" w:name="_Toc26112"/>
      <w:r>
        <w:rPr>
          <w:rFonts w:hint="default" w:ascii="Times New Roman" w:hAnsi="Times New Roman" w:eastAsia="黑体" w:cs="Times New Roman"/>
          <w:b w:val="0"/>
          <w:color w:val="000000" w:themeColor="text1"/>
          <w:sz w:val="24"/>
          <w:szCs w:val="24"/>
          <w:highlight w:val="none"/>
          <w14:textFill>
            <w14:solidFill>
              <w14:schemeClr w14:val="tx1"/>
            </w14:solidFill>
          </w14:textFill>
        </w:rPr>
        <w:t>3.4</w:t>
      </w:r>
      <w:r>
        <w:rPr>
          <w:rFonts w:hint="default" w:ascii="Times New Roman" w:hAnsi="Times New Roman" w:eastAsia="黑体" w:cs="Times New Roman"/>
          <w:b w:val="0"/>
          <w:color w:val="000000" w:themeColor="text1"/>
          <w:sz w:val="24"/>
          <w:szCs w:val="24"/>
          <w:highlight w:val="none"/>
          <w:lang w:eastAsia="zh-CN"/>
          <w14:textFill>
            <w14:solidFill>
              <w14:schemeClr w14:val="tx1"/>
            </w14:solidFill>
          </w14:textFill>
        </w:rPr>
        <w:t xml:space="preserve"> </w:t>
      </w:r>
      <w:r>
        <w:rPr>
          <w:rFonts w:hint="default" w:ascii="Times New Roman" w:hAnsi="Times New Roman" w:eastAsia="黑体" w:cs="Times New Roman"/>
          <w:b w:val="0"/>
          <w:color w:val="000000" w:themeColor="text1"/>
          <w:sz w:val="24"/>
          <w:szCs w:val="24"/>
          <w:highlight w:val="none"/>
          <w14:textFill>
            <w14:solidFill>
              <w14:schemeClr w14:val="tx1"/>
            </w14:solidFill>
          </w14:textFill>
        </w:rPr>
        <w:t>第二个信封初步评审</w:t>
      </w:r>
      <w:bookmarkEnd w:id="22"/>
    </w:p>
    <w:p w14:paraId="4DC43C42">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3.4.1 评标委员会依据本章第2.1.1项、第2.1.3项规定的评审标准对投标文件第二个信封（报价文件）进行初步评审。有一项不符合评审标准的，评标委员会应否决其投标。</w:t>
      </w:r>
    </w:p>
    <w:p w14:paraId="39AF1929">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3.4.2</w:t>
      </w:r>
      <w:r>
        <w:rPr>
          <w:rFonts w:hint="default" w:ascii="Times New Roman" w:hAnsi="Times New Roman" w:eastAsia="宋体" w:cs="Times New Roman"/>
          <w:color w:val="000000" w:themeColor="text1"/>
          <w:highlight w:val="none"/>
          <w:vertAlign w:val="superscript"/>
          <w14:textFill>
            <w14:solidFill>
              <w14:schemeClr w14:val="tx1"/>
            </w14:solidFill>
          </w14:textFill>
        </w:rPr>
        <w:footnoteReference w:id="0"/>
      </w:r>
      <w:r>
        <w:rPr>
          <w:rFonts w:hint="default" w:ascii="Times New Roman" w:hAnsi="Times New Roman" w:eastAsia="宋体" w:cs="Times New Roman"/>
          <w:color w:val="000000" w:themeColor="text1"/>
          <w:sz w:val="24"/>
          <w:highlight w:val="none"/>
          <w14:textFill>
            <w14:solidFill>
              <w14:schemeClr w14:val="tx1"/>
            </w14:solidFill>
          </w14:textFill>
        </w:rPr>
        <w:t xml:space="preserve"> 投标报价有算术错误的，评标委员会按以下原则对投标报价进行修正，修正的价格经投标人书面确认后具有约束力。投标人不接受修正价格的，评标委员会应否决其投标。</w:t>
      </w:r>
    </w:p>
    <w:p w14:paraId="3CF2B87F">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（1）投标文件中的大写金额与小写金额不一致的，以大写金额为准；</w:t>
      </w:r>
    </w:p>
    <w:p w14:paraId="0A618E73">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（2）总价金额与依据单价计算出的结果不一致的，以单价金额为准修正总价，但单价金额小数点有明显错误的除外;</w:t>
      </w:r>
    </w:p>
    <w:p w14:paraId="03DBEEEE">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（3）当单价与数量相乘不等于合价时，以单价计算为准，如果单价有明显的小数点位置差错，应以标出的合价为准，同时对单价予以修正；</w:t>
      </w:r>
    </w:p>
    <w:p w14:paraId="52B733FF">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（4）当各子目的合价累计不等于总价时，应以各子目合价累计数为准，修正总价。</w:t>
      </w:r>
    </w:p>
    <w:p w14:paraId="330FA72F">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3.4.3 工程量清单中的投标报价有其他错误的，评标委员会按以下原则对投标报价进行修正，修正的价格经投标人书面确认后具有约束力。投标人不接受修正价格的，评标委员会应否决其投标。</w:t>
      </w:r>
    </w:p>
    <w:p w14:paraId="57E6D980">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1）在招标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14:paraId="2560E0C3">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2）在招标人给定的工程量清单中多报了某个工程子目的单价、合价或总额价，或所报单价、合价或总额价增加了报价范围，则从投标报价中扣除多报的工程子目报价或工程子目报价中增加了报价范围的部分报价。</w:t>
      </w:r>
    </w:p>
    <w:p w14:paraId="0DD8722E">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（3）当单价与数量的乘积与合价（金额）虽然一致，但投标人修改了该子目的工程数量，则其合价按招标人给定的工程数量乘以投标人所报单价予以修正。</w:t>
      </w:r>
    </w:p>
    <w:p w14:paraId="41ECEB31">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3.4.4 修正后的最终投标报价若超过最高投标限价（如有），评标委员会应否决其投标。</w:t>
      </w:r>
    </w:p>
    <w:p w14:paraId="6ED0845B">
      <w:pPr>
        <w:pStyle w:val="2"/>
        <w:pageBreakBefore w:val="0"/>
        <w:kinsoku/>
        <w:wordWrap w:val="0"/>
        <w:bidi w:val="0"/>
        <w:spacing w:before="240" w:after="240" w:line="240" w:lineRule="atLeast"/>
        <w:outlineLvl w:val="2"/>
        <w:rPr>
          <w:rFonts w:hint="default" w:ascii="Times New Roman" w:hAnsi="Times New Roman" w:eastAsia="黑体" w:cs="Times New Roman"/>
          <w:b w:val="0"/>
          <w:color w:val="000000" w:themeColor="text1"/>
          <w:sz w:val="24"/>
          <w:szCs w:val="24"/>
          <w:highlight w:val="none"/>
          <w14:textFill>
            <w14:solidFill>
              <w14:schemeClr w14:val="tx1"/>
            </w14:solidFill>
          </w14:textFill>
        </w:rPr>
      </w:pPr>
      <w:bookmarkStart w:id="23" w:name="_Toc14781"/>
      <w:r>
        <w:rPr>
          <w:rFonts w:hint="default" w:ascii="Times New Roman" w:hAnsi="Times New Roman" w:eastAsia="黑体" w:cs="Times New Roman"/>
          <w:b w:val="0"/>
          <w:color w:val="000000" w:themeColor="text1"/>
          <w:sz w:val="24"/>
          <w:szCs w:val="24"/>
          <w:highlight w:val="none"/>
          <w14:textFill>
            <w14:solidFill>
              <w14:schemeClr w14:val="tx1"/>
            </w14:solidFill>
          </w14:textFill>
        </w:rPr>
        <w:t>3.5</w:t>
      </w:r>
      <w:r>
        <w:rPr>
          <w:rFonts w:hint="default" w:ascii="Times New Roman" w:hAnsi="Times New Roman" w:eastAsia="黑体" w:cs="Times New Roman"/>
          <w:b w:val="0"/>
          <w:color w:val="000000" w:themeColor="text1"/>
          <w:sz w:val="24"/>
          <w:szCs w:val="24"/>
          <w:highlight w:val="none"/>
          <w:lang w:eastAsia="zh-CN"/>
          <w14:textFill>
            <w14:solidFill>
              <w14:schemeClr w14:val="tx1"/>
            </w14:solidFill>
          </w14:textFill>
        </w:rPr>
        <w:t xml:space="preserve"> </w:t>
      </w:r>
      <w:r>
        <w:rPr>
          <w:rFonts w:hint="default" w:ascii="Times New Roman" w:hAnsi="Times New Roman" w:eastAsia="黑体" w:cs="Times New Roman"/>
          <w:b w:val="0"/>
          <w:color w:val="000000" w:themeColor="text1"/>
          <w:sz w:val="24"/>
          <w:szCs w:val="24"/>
          <w:highlight w:val="none"/>
          <w14:textFill>
            <w14:solidFill>
              <w14:schemeClr w14:val="tx1"/>
            </w14:solidFill>
          </w14:textFill>
        </w:rPr>
        <w:t>第二个信封详细评审</w:t>
      </w:r>
      <w:bookmarkEnd w:id="23"/>
    </w:p>
    <w:p w14:paraId="3B1816FE">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3.5.1 评标委员会按本章第2.2款规定的量化因素和分值进行打分，并计算出评标价得分。</w:t>
      </w:r>
    </w:p>
    <w:p w14:paraId="3859A6A7">
      <w:pPr>
        <w:pageBreakBefore w:val="0"/>
        <w:kinsoku/>
        <w:wordWrap w:val="0"/>
        <w:bidi w:val="0"/>
        <w:spacing w:line="400" w:lineRule="atLeast"/>
        <w:ind w:firstLine="480" w:firstLineChars="200"/>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3.</w:t>
      </w:r>
      <w:r>
        <w:rPr>
          <w:rFonts w:hint="eastAsia" w:cs="Times New Roman"/>
          <w:color w:val="000000" w:themeColor="text1"/>
          <w:sz w:val="24"/>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sz w:val="24"/>
          <w:highlight w:val="none"/>
          <w14:textFill>
            <w14:solidFill>
              <w14:schemeClr w14:val="tx1"/>
            </w14:solidFill>
          </w14:textFill>
        </w:rPr>
        <w:t>.2 投标人得分分值计算保留小数点后两位，小数点后第三位</w:t>
      </w:r>
      <w:r>
        <w:rPr>
          <w:rFonts w:hint="eastAsia" w:ascii="宋体" w:hAnsi="宋体" w:eastAsia="宋体" w:cs="宋体"/>
          <w:color w:val="000000" w:themeColor="text1"/>
          <w:sz w:val="24"/>
          <w:highlight w:val="none"/>
          <w14:textFill>
            <w14:solidFill>
              <w14:schemeClr w14:val="tx1"/>
            </w14:solidFill>
          </w14:textFill>
        </w:rPr>
        <w:t>“</w:t>
      </w:r>
      <w:r>
        <w:rPr>
          <w:rFonts w:hint="default" w:ascii="Times New Roman" w:hAnsi="Times New Roman" w:eastAsia="宋体" w:cs="Times New Roman"/>
          <w:color w:val="000000" w:themeColor="text1"/>
          <w:sz w:val="24"/>
          <w:highlight w:val="none"/>
          <w14:textFill>
            <w14:solidFill>
              <w14:schemeClr w14:val="tx1"/>
            </w14:solidFill>
          </w14:textFill>
        </w:rPr>
        <w:t>四舍五入</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w:t>
      </w:r>
    </w:p>
    <w:p w14:paraId="346D798A">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3.5.</w:t>
      </w:r>
      <w:r>
        <w:rPr>
          <w:rFonts w:hint="eastAsia" w:cs="Times New Roman"/>
          <w:color w:val="000000" w:themeColor="text1"/>
          <w:sz w:val="24"/>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4"/>
          <w:highlight w:val="none"/>
          <w14:textFill>
            <w14:solidFill>
              <w14:schemeClr w14:val="tx1"/>
            </w14:solidFill>
          </w14:textFill>
        </w:rPr>
        <w:t xml:space="preserve"> 评标委员会发现投标人的报价明显低于其他投标报价，是有可能影响履约的异常低价，应按本章3.7款的规定向投标人发出澄清，要求该投标人作出书面说明该报价的合理性并提供相应证明材料。当投标人不能合理说明并证明其报价的合理性的，评标委员会应以少数服从多数的原则否决其投标。</w:t>
      </w:r>
    </w:p>
    <w:p w14:paraId="1EC76DE2">
      <w:pPr>
        <w:pStyle w:val="2"/>
        <w:pageBreakBefore w:val="0"/>
        <w:kinsoku/>
        <w:wordWrap w:val="0"/>
        <w:bidi w:val="0"/>
        <w:spacing w:before="240" w:after="240" w:line="240" w:lineRule="atLeast"/>
        <w:outlineLvl w:val="2"/>
        <w:rPr>
          <w:rFonts w:hint="default" w:ascii="Times New Roman" w:hAnsi="Times New Roman" w:eastAsia="黑体" w:cs="Times New Roman"/>
          <w:b w:val="0"/>
          <w:color w:val="000000" w:themeColor="text1"/>
          <w:sz w:val="24"/>
          <w:szCs w:val="24"/>
          <w:highlight w:val="none"/>
          <w14:textFill>
            <w14:solidFill>
              <w14:schemeClr w14:val="tx1"/>
            </w14:solidFill>
          </w14:textFill>
        </w:rPr>
      </w:pPr>
      <w:bookmarkStart w:id="24" w:name="_Toc2424"/>
      <w:r>
        <w:rPr>
          <w:rFonts w:hint="default" w:ascii="Times New Roman" w:hAnsi="Times New Roman" w:eastAsia="黑体" w:cs="Times New Roman"/>
          <w:b w:val="0"/>
          <w:color w:val="000000" w:themeColor="text1"/>
          <w:sz w:val="24"/>
          <w:szCs w:val="24"/>
          <w:highlight w:val="none"/>
          <w14:textFill>
            <w14:solidFill>
              <w14:schemeClr w14:val="tx1"/>
            </w14:solidFill>
          </w14:textFill>
        </w:rPr>
        <w:t>3.6</w:t>
      </w:r>
      <w:r>
        <w:rPr>
          <w:rFonts w:hint="default" w:ascii="Times New Roman" w:hAnsi="Times New Roman" w:eastAsia="黑体" w:cs="Times New Roman"/>
          <w:b w:val="0"/>
          <w:color w:val="000000" w:themeColor="text1"/>
          <w:sz w:val="24"/>
          <w:szCs w:val="24"/>
          <w:highlight w:val="none"/>
          <w:lang w:eastAsia="zh-CN"/>
          <w14:textFill>
            <w14:solidFill>
              <w14:schemeClr w14:val="tx1"/>
            </w14:solidFill>
          </w14:textFill>
        </w:rPr>
        <w:t xml:space="preserve"> </w:t>
      </w:r>
      <w:r>
        <w:rPr>
          <w:rFonts w:hint="default" w:ascii="Times New Roman" w:hAnsi="Times New Roman" w:eastAsia="黑体" w:cs="Times New Roman"/>
          <w:b w:val="0"/>
          <w:color w:val="000000" w:themeColor="text1"/>
          <w:sz w:val="24"/>
          <w:szCs w:val="24"/>
          <w:highlight w:val="none"/>
          <w14:textFill>
            <w14:solidFill>
              <w14:schemeClr w14:val="tx1"/>
            </w14:solidFill>
          </w14:textFill>
        </w:rPr>
        <w:t>投标文件相关信息的核查</w:t>
      </w:r>
      <w:bookmarkEnd w:id="24"/>
    </w:p>
    <w:p w14:paraId="2B265201">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3.6.1 在评标过程中，评标委员会应查询交通运输主管部门</w:t>
      </w:r>
      <w:r>
        <w:rPr>
          <w:rFonts w:hint="eastAsia" w:ascii="宋体" w:hAnsi="宋体" w:eastAsia="宋体" w:cs="宋体"/>
          <w:color w:val="000000" w:themeColor="text1"/>
          <w:sz w:val="24"/>
          <w:highlight w:val="none"/>
          <w14:textFill>
            <w14:solidFill>
              <w14:schemeClr w14:val="tx1"/>
            </w14:solidFill>
          </w14:textFill>
        </w:rPr>
        <w:t>“</w:t>
      </w:r>
      <w:r>
        <w:rPr>
          <w:rFonts w:hint="eastAsia" w:cs="Times New Roman"/>
          <w:color w:val="000000" w:themeColor="text1"/>
          <w:sz w:val="24"/>
          <w:highlight w:val="none"/>
          <w:lang w:eastAsia="zh-CN"/>
          <w14:textFill>
            <w14:solidFill>
              <w14:schemeClr w14:val="tx1"/>
            </w14:solidFill>
          </w14:textFill>
        </w:rPr>
        <w:t>全国公路建设市场监督管理系统</w:t>
      </w:r>
      <w:r>
        <w:rPr>
          <w:rFonts w:hint="eastAsia" w:ascii="宋体" w:hAnsi="宋体" w:eastAsia="宋体" w:cs="宋体"/>
          <w:color w:val="000000" w:themeColor="text1"/>
          <w:sz w:val="24"/>
          <w:highlight w:val="none"/>
          <w14:textFill>
            <w14:solidFill>
              <w14:schemeClr w14:val="tx1"/>
            </w14:solidFill>
          </w14:textFill>
        </w:rPr>
        <w:t>”</w:t>
      </w:r>
      <w:r>
        <w:rPr>
          <w:rFonts w:hint="default" w:ascii="Times New Roman" w:hAnsi="Times New Roman" w:eastAsia="宋体" w:cs="Times New Roman"/>
          <w:color w:val="000000" w:themeColor="text1"/>
          <w:sz w:val="24"/>
          <w:highlight w:val="none"/>
          <w14:textFill>
            <w14:solidFill>
              <w14:schemeClr w14:val="tx1"/>
            </w14:solidFill>
          </w14:textFill>
        </w:rPr>
        <w:t>，对投标人的资质、业绩、主要人员资历和目前在岗情况、信用等级等信息进行核实。若投标文件载明的信息与交通运输主管部门</w:t>
      </w:r>
      <w:r>
        <w:rPr>
          <w:rFonts w:hint="eastAsia" w:ascii="宋体" w:hAnsi="宋体" w:eastAsia="宋体" w:cs="宋体"/>
          <w:color w:val="000000" w:themeColor="text1"/>
          <w:sz w:val="24"/>
          <w:highlight w:val="none"/>
          <w14:textFill>
            <w14:solidFill>
              <w14:schemeClr w14:val="tx1"/>
            </w14:solidFill>
          </w14:textFill>
        </w:rPr>
        <w:t>“</w:t>
      </w:r>
      <w:r>
        <w:rPr>
          <w:rFonts w:hint="eastAsia" w:cs="Times New Roman"/>
          <w:color w:val="000000" w:themeColor="text1"/>
          <w:sz w:val="24"/>
          <w:highlight w:val="none"/>
          <w:lang w:eastAsia="zh-CN"/>
          <w14:textFill>
            <w14:solidFill>
              <w14:schemeClr w14:val="tx1"/>
            </w14:solidFill>
          </w14:textFill>
        </w:rPr>
        <w:t>全国公路建设市场监督管理系统</w:t>
      </w:r>
      <w:r>
        <w:rPr>
          <w:rFonts w:hint="eastAsia" w:ascii="宋体" w:hAnsi="宋体" w:eastAsia="宋体" w:cs="宋体"/>
          <w:color w:val="000000" w:themeColor="text1"/>
          <w:sz w:val="24"/>
          <w:highlight w:val="none"/>
          <w14:textFill>
            <w14:solidFill>
              <w14:schemeClr w14:val="tx1"/>
            </w14:solidFill>
          </w14:textFill>
        </w:rPr>
        <w:t>”</w:t>
      </w:r>
      <w:r>
        <w:rPr>
          <w:rFonts w:hint="default" w:ascii="Times New Roman" w:hAnsi="Times New Roman" w:eastAsia="宋体" w:cs="Times New Roman"/>
          <w:color w:val="000000" w:themeColor="text1"/>
          <w:sz w:val="24"/>
          <w:highlight w:val="none"/>
          <w14:textFill>
            <w14:solidFill>
              <w14:schemeClr w14:val="tx1"/>
            </w14:solidFill>
          </w14:textFill>
        </w:rPr>
        <w:t>发布的信息不符，使得投标人的资格条件不符合招标文件规定的，评标委员会应否决其投标。</w:t>
      </w:r>
    </w:p>
    <w:p w14:paraId="103E95BD">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3.6.2 评标委员会应对在评标过程中发现的投标人与投标人之间、投标人与招标人之间存在的串通投标的情形进行评审和认定。投标人存在串通投标、弄虚作假、行贿等违法行为的，评标委员会应否决其投标。</w:t>
      </w:r>
    </w:p>
    <w:p w14:paraId="7CC46260">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（1）有下列情形之一的，属于投标人相互串通投标：</w:t>
      </w:r>
    </w:p>
    <w:p w14:paraId="1132A846">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a.投标人之间协商投标报价等投标文件的实质性内容；</w:t>
      </w:r>
    </w:p>
    <w:p w14:paraId="29FF19AC">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b.投标人之间约定中标人；</w:t>
      </w:r>
    </w:p>
    <w:p w14:paraId="556433FE">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c.投标人之间约定部分投标人放弃投标或中标；</w:t>
      </w:r>
    </w:p>
    <w:p w14:paraId="1F1EA033">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d.属于同一集团、协会、商会等组织成员的投标人按照该组织要求协同投标；</w:t>
      </w:r>
    </w:p>
    <w:p w14:paraId="6CAAF572">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e.投标人之间为谋取中标或排斥特定投标人而采取的其他联合行动。</w:t>
      </w:r>
    </w:p>
    <w:p w14:paraId="7139D7B2">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（2）有下列情形之一的，视为投标人相互串通投标：</w:t>
      </w:r>
    </w:p>
    <w:p w14:paraId="08488510">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a.不同投标人的投标文件由同一单位或个人编制；</w:t>
      </w:r>
    </w:p>
    <w:p w14:paraId="4483BE45">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b.不同投标人委托同一单位或个人办理投标事宜；</w:t>
      </w:r>
    </w:p>
    <w:p w14:paraId="0E382E10">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c.不同投标人的投标文件载明的项目管理成员为同一人；</w:t>
      </w:r>
    </w:p>
    <w:p w14:paraId="69089455">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d.不同投标人的投标文件异常一致或投标报价呈规律性差异；</w:t>
      </w:r>
    </w:p>
    <w:p w14:paraId="5F1437F9">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e.不同投标人的投标文件相互混装；</w:t>
      </w:r>
    </w:p>
    <w:p w14:paraId="6F2E34DF">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f.不同投标人的投标保证金从同一单位或个人的账户转出。</w:t>
      </w:r>
    </w:p>
    <w:p w14:paraId="1B7121C3">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（3）有下列情形之一的，属于招标人与投标人串通投标：</w:t>
      </w:r>
    </w:p>
    <w:p w14:paraId="0CC8684B">
      <w:pPr>
        <w:pageBreakBefore w:val="0"/>
        <w:kinsoku/>
        <w:wordWrap w:val="0"/>
        <w:bidi w:val="0"/>
        <w:spacing w:line="400" w:lineRule="atLeast"/>
        <w:ind w:firstLine="480" w:firstLineChars="200"/>
        <w:rPr>
          <w:rFonts w:hint="eastAsia" w:ascii="Times New Roman" w:hAnsi="Times New Roman" w:eastAsia="宋体" w:cs="Times New Roman"/>
          <w:color w:val="000000" w:themeColor="text1"/>
          <w:sz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a.招标人在开标前开启投标文件并将有关信息泄露给其他投标人</w:t>
      </w:r>
      <w:r>
        <w:rPr>
          <w:rFonts w:hint="eastAsia" w:cs="Times New Roman"/>
          <w:color w:val="000000" w:themeColor="text1"/>
          <w:sz w:val="24"/>
          <w:highlight w:val="none"/>
          <w:lang w:eastAsia="zh-CN"/>
          <w14:textFill>
            <w14:solidFill>
              <w14:schemeClr w14:val="tx1"/>
            </w14:solidFill>
          </w14:textFill>
        </w:rPr>
        <w:t>；</w:t>
      </w:r>
    </w:p>
    <w:p w14:paraId="74F8CA20">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b.招标人直接或间接向投标人泄露标底、评标委员会成员等信息；</w:t>
      </w:r>
    </w:p>
    <w:p w14:paraId="68500142">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c.招标人明示或暗示投标人压低或抬高投标报价；</w:t>
      </w:r>
    </w:p>
    <w:p w14:paraId="5379F6AA">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d.招标人授意投标人撤换、修改投标文件；</w:t>
      </w:r>
    </w:p>
    <w:p w14:paraId="1D24E1EA">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e.招标人明示或暗示投标人为特定投标人中标提供方便；</w:t>
      </w:r>
    </w:p>
    <w:p w14:paraId="3B0012D5">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f.招标人与投标人为谋求特定投标人中标而采取的其他串通行为。</w:t>
      </w:r>
    </w:p>
    <w:p w14:paraId="05F52580">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（4）投标人有下列情形之一的，属于弄虚作假的行为：</w:t>
      </w:r>
    </w:p>
    <w:p w14:paraId="6D7A9AC3">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a.使用通过受让或租借等方式获取的资格、资质证书投标；</w:t>
      </w:r>
    </w:p>
    <w:p w14:paraId="5C4FF61D">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b.使用伪造、变造的许可证件；</w:t>
      </w:r>
    </w:p>
    <w:p w14:paraId="4E9C9F0D">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c.提供虚假的财务状况或业绩；</w:t>
      </w:r>
    </w:p>
    <w:p w14:paraId="01AB57A0">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d.提供虚假的项目负责人或主要技术人员简历、劳动关系证明；</w:t>
      </w:r>
    </w:p>
    <w:p w14:paraId="07AE5F5E">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e.提供虚假的信用状况；</w:t>
      </w:r>
    </w:p>
    <w:p w14:paraId="64DE3624">
      <w:pPr>
        <w:pageBreakBefore w:val="0"/>
        <w:kinsoku/>
        <w:wordWrap w:val="0"/>
        <w:bidi w:val="0"/>
        <w:spacing w:line="400" w:lineRule="atLeast"/>
        <w:ind w:firstLine="480" w:firstLineChars="200"/>
        <w:rPr>
          <w:rFonts w:hint="default" w:ascii="Times New Roman" w:hAnsi="Times New Roman" w:eastAsia="隶书"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f.其他弄虚作假的行为。</w:t>
      </w:r>
    </w:p>
    <w:p w14:paraId="5DB651D7">
      <w:pPr>
        <w:pStyle w:val="2"/>
        <w:pageBreakBefore w:val="0"/>
        <w:kinsoku/>
        <w:wordWrap w:val="0"/>
        <w:bidi w:val="0"/>
        <w:spacing w:before="240" w:after="240" w:line="400" w:lineRule="atLeast"/>
        <w:outlineLvl w:val="2"/>
        <w:rPr>
          <w:rFonts w:hint="default" w:ascii="Times New Roman" w:hAnsi="Times New Roman" w:eastAsia="黑体" w:cs="Times New Roman"/>
          <w:b w:val="0"/>
          <w:color w:val="000000" w:themeColor="text1"/>
          <w:sz w:val="24"/>
          <w:szCs w:val="24"/>
          <w:highlight w:val="none"/>
          <w14:textFill>
            <w14:solidFill>
              <w14:schemeClr w14:val="tx1"/>
            </w14:solidFill>
          </w14:textFill>
        </w:rPr>
      </w:pPr>
      <w:bookmarkStart w:id="25" w:name="_Toc14375"/>
      <w:r>
        <w:rPr>
          <w:rFonts w:hint="default" w:ascii="Times New Roman" w:hAnsi="Times New Roman" w:eastAsia="黑体" w:cs="Times New Roman"/>
          <w:b w:val="0"/>
          <w:color w:val="000000" w:themeColor="text1"/>
          <w:sz w:val="24"/>
          <w:szCs w:val="24"/>
          <w:highlight w:val="none"/>
          <w14:textFill>
            <w14:solidFill>
              <w14:schemeClr w14:val="tx1"/>
            </w14:solidFill>
          </w14:textFill>
        </w:rPr>
        <w:t>3.7 投标文件的澄清和说明</w:t>
      </w:r>
      <w:bookmarkEnd w:id="25"/>
    </w:p>
    <w:p w14:paraId="41ECEA7E">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3.7.1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14:paraId="2134CC61">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3.7.2 澄清和说明不得超出投标文件的范围或改变投标文件的实质性内容（算术性错误的修正除外）。投标人的书面澄清、说明属于投标文件的组成部分。</w:t>
      </w:r>
    </w:p>
    <w:p w14:paraId="536996AD">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3.7.3 评标委员会不得暗示或诱导投标人作出澄清、说明，对投标人提交的澄清、说明有疑问的，可以要求投标人进一步澄清或说明，直至满足评标委员会的要求。</w:t>
      </w:r>
    </w:p>
    <w:p w14:paraId="4B17EAC8">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3.7.4 凡超出招标文件规定的或给发包人带来未曾要求的利益的变化、偏差或其他因素在评标时不予考虑。</w:t>
      </w:r>
    </w:p>
    <w:p w14:paraId="38C0623C">
      <w:pPr>
        <w:pStyle w:val="2"/>
        <w:pageBreakBefore w:val="0"/>
        <w:kinsoku/>
        <w:wordWrap w:val="0"/>
        <w:bidi w:val="0"/>
        <w:spacing w:before="240" w:after="240" w:line="400" w:lineRule="atLeast"/>
        <w:outlineLvl w:val="2"/>
        <w:rPr>
          <w:rFonts w:hint="default" w:ascii="Times New Roman" w:hAnsi="Times New Roman" w:eastAsia="黑体" w:cs="Times New Roman"/>
          <w:b w:val="0"/>
          <w:color w:val="000000" w:themeColor="text1"/>
          <w:sz w:val="24"/>
          <w:szCs w:val="24"/>
          <w:highlight w:val="none"/>
          <w14:textFill>
            <w14:solidFill>
              <w14:schemeClr w14:val="tx1"/>
            </w14:solidFill>
          </w14:textFill>
        </w:rPr>
      </w:pPr>
      <w:bookmarkStart w:id="26" w:name="_Toc5737"/>
      <w:r>
        <w:rPr>
          <w:rFonts w:hint="default" w:ascii="Times New Roman" w:hAnsi="Times New Roman" w:eastAsia="黑体" w:cs="Times New Roman"/>
          <w:b w:val="0"/>
          <w:color w:val="000000" w:themeColor="text1"/>
          <w:sz w:val="24"/>
          <w:szCs w:val="24"/>
          <w:highlight w:val="none"/>
          <w14:textFill>
            <w14:solidFill>
              <w14:schemeClr w14:val="tx1"/>
            </w14:solidFill>
          </w14:textFill>
        </w:rPr>
        <w:t>3</w:t>
      </w:r>
      <w:r>
        <w:rPr>
          <w:rFonts w:hint="default" w:ascii="Times New Roman" w:hAnsi="Times New Roman" w:eastAsia="黑体" w:cs="Times New Roman"/>
          <w:b w:val="0"/>
          <w:color w:val="000000" w:themeColor="text1"/>
          <w:sz w:val="24"/>
          <w:szCs w:val="24"/>
          <w:highlight w:val="none"/>
          <w:lang w:eastAsia="zh-CN"/>
          <w14:textFill>
            <w14:solidFill>
              <w14:schemeClr w14:val="tx1"/>
            </w14:solidFill>
          </w14:textFill>
        </w:rPr>
        <w:t>.8</w:t>
      </w:r>
      <w:r>
        <w:rPr>
          <w:rFonts w:hint="default" w:ascii="Times New Roman" w:hAnsi="Times New Roman" w:eastAsia="黑体" w:cs="Times New Roman"/>
          <w:b w:val="0"/>
          <w:color w:val="000000" w:themeColor="text1"/>
          <w:sz w:val="24"/>
          <w:szCs w:val="24"/>
          <w:highlight w:val="none"/>
          <w14:textFill>
            <w14:solidFill>
              <w14:schemeClr w14:val="tx1"/>
            </w14:solidFill>
          </w14:textFill>
        </w:rPr>
        <w:t xml:space="preserve"> 不得否决投标的情形</w:t>
      </w:r>
      <w:bookmarkEnd w:id="26"/>
    </w:p>
    <w:p w14:paraId="1164CDBB">
      <w:pPr>
        <w:pageBreakBefore w:val="0"/>
        <w:kinsoku/>
        <w:wordWrap w:val="0"/>
        <w:bidi w:val="0"/>
        <w:spacing w:line="400" w:lineRule="atLeast"/>
        <w:ind w:firstLine="480" w:firstLineChars="200"/>
        <w:rPr>
          <w:rFonts w:hint="default" w:ascii="Times New Roman" w:hAnsi="Times New Roman" w:eastAsia="隶书"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投标文件存在第二章</w:t>
      </w:r>
      <w:r>
        <w:rPr>
          <w:rFonts w:hint="eastAsia" w:ascii="宋体" w:hAnsi="宋体" w:eastAsia="宋体" w:cs="宋体"/>
          <w:color w:val="000000" w:themeColor="text1"/>
          <w:sz w:val="24"/>
          <w:highlight w:val="none"/>
          <w14:textFill>
            <w14:solidFill>
              <w14:schemeClr w14:val="tx1"/>
            </w14:solidFill>
          </w14:textFill>
        </w:rPr>
        <w:t>“</w:t>
      </w:r>
      <w:r>
        <w:rPr>
          <w:rFonts w:hint="default" w:ascii="Times New Roman" w:hAnsi="Times New Roman" w:eastAsia="宋体" w:cs="Times New Roman"/>
          <w:color w:val="000000" w:themeColor="text1"/>
          <w:sz w:val="24"/>
          <w:highlight w:val="none"/>
          <w14:textFill>
            <w14:solidFill>
              <w14:schemeClr w14:val="tx1"/>
            </w14:solidFill>
          </w14:textFill>
        </w:rPr>
        <w:t>投标人须知</w:t>
      </w:r>
      <w:r>
        <w:rPr>
          <w:rFonts w:hint="eastAsia" w:ascii="宋体" w:hAnsi="宋体" w:eastAsia="宋体" w:cs="宋体"/>
          <w:color w:val="000000" w:themeColor="text1"/>
          <w:sz w:val="24"/>
          <w:highlight w:val="none"/>
          <w14:textFill>
            <w14:solidFill>
              <w14:schemeClr w14:val="tx1"/>
            </w14:solidFill>
          </w14:textFill>
        </w:rPr>
        <w:t>”</w:t>
      </w:r>
      <w:r>
        <w:rPr>
          <w:rFonts w:hint="default" w:ascii="Times New Roman" w:hAnsi="Times New Roman" w:eastAsia="宋体" w:cs="Times New Roman"/>
          <w:color w:val="000000" w:themeColor="text1"/>
          <w:sz w:val="24"/>
          <w:highlight w:val="none"/>
          <w14:textFill>
            <w14:solidFill>
              <w14:schemeClr w14:val="tx1"/>
            </w14:solidFill>
          </w14:textFill>
        </w:rPr>
        <w:t>第1.12.3项所列情形的，均视为细微偏差，评标委员会不得否决投标人的投标，应按照第二章</w:t>
      </w:r>
      <w:r>
        <w:rPr>
          <w:rFonts w:hint="eastAsia" w:ascii="宋体" w:hAnsi="宋体" w:eastAsia="宋体" w:cs="宋体"/>
          <w:color w:val="000000" w:themeColor="text1"/>
          <w:sz w:val="24"/>
          <w:highlight w:val="none"/>
          <w14:textFill>
            <w14:solidFill>
              <w14:schemeClr w14:val="tx1"/>
            </w14:solidFill>
          </w14:textFill>
        </w:rPr>
        <w:t>“</w:t>
      </w:r>
      <w:r>
        <w:rPr>
          <w:rFonts w:hint="default" w:ascii="Times New Roman" w:hAnsi="Times New Roman" w:eastAsia="宋体" w:cs="Times New Roman"/>
          <w:color w:val="000000" w:themeColor="text1"/>
          <w:sz w:val="24"/>
          <w:highlight w:val="none"/>
          <w14:textFill>
            <w14:solidFill>
              <w14:schemeClr w14:val="tx1"/>
            </w14:solidFill>
          </w14:textFill>
        </w:rPr>
        <w:t>投标人须知</w:t>
      </w:r>
      <w:r>
        <w:rPr>
          <w:rFonts w:hint="eastAsia" w:ascii="宋体" w:hAnsi="宋体" w:eastAsia="宋体" w:cs="宋体"/>
          <w:color w:val="000000" w:themeColor="text1"/>
          <w:sz w:val="24"/>
          <w:highlight w:val="none"/>
          <w14:textFill>
            <w14:solidFill>
              <w14:schemeClr w14:val="tx1"/>
            </w14:solidFill>
          </w14:textFill>
        </w:rPr>
        <w:t>”</w:t>
      </w:r>
      <w:r>
        <w:rPr>
          <w:rFonts w:hint="default" w:ascii="Times New Roman" w:hAnsi="Times New Roman" w:eastAsia="宋体" w:cs="Times New Roman"/>
          <w:color w:val="000000" w:themeColor="text1"/>
          <w:sz w:val="24"/>
          <w:highlight w:val="none"/>
          <w14:textFill>
            <w14:solidFill>
              <w14:schemeClr w14:val="tx1"/>
            </w14:solidFill>
          </w14:textFill>
        </w:rPr>
        <w:t>第1.12.4项规定的原则处理。</w:t>
      </w:r>
    </w:p>
    <w:p w14:paraId="53F0267C">
      <w:pPr>
        <w:pStyle w:val="2"/>
        <w:pageBreakBefore w:val="0"/>
        <w:kinsoku/>
        <w:wordWrap w:val="0"/>
        <w:bidi w:val="0"/>
        <w:spacing w:before="240" w:after="240" w:line="240" w:lineRule="atLeast"/>
        <w:outlineLvl w:val="2"/>
        <w:rPr>
          <w:rFonts w:hint="default" w:ascii="Times New Roman" w:hAnsi="Times New Roman" w:eastAsia="黑体" w:cs="Times New Roman"/>
          <w:b w:val="0"/>
          <w:color w:val="000000" w:themeColor="text1"/>
          <w:sz w:val="24"/>
          <w:szCs w:val="24"/>
          <w:highlight w:val="none"/>
          <w14:textFill>
            <w14:solidFill>
              <w14:schemeClr w14:val="tx1"/>
            </w14:solidFill>
          </w14:textFill>
        </w:rPr>
      </w:pPr>
      <w:bookmarkStart w:id="27" w:name="_Toc12515"/>
      <w:r>
        <w:rPr>
          <w:rFonts w:hint="default" w:ascii="Times New Roman" w:hAnsi="Times New Roman" w:eastAsia="黑体" w:cs="Times New Roman"/>
          <w:b w:val="0"/>
          <w:color w:val="000000" w:themeColor="text1"/>
          <w:sz w:val="24"/>
          <w:szCs w:val="24"/>
          <w:highlight w:val="none"/>
          <w14:textFill>
            <w14:solidFill>
              <w14:schemeClr w14:val="tx1"/>
            </w14:solidFill>
          </w14:textFill>
        </w:rPr>
        <w:t>3.</w:t>
      </w:r>
      <w:r>
        <w:rPr>
          <w:rFonts w:hint="default" w:ascii="Times New Roman" w:hAnsi="Times New Roman" w:eastAsia="黑体" w:cs="Times New Roman"/>
          <w:b w:val="0"/>
          <w:color w:val="000000" w:themeColor="text1"/>
          <w:sz w:val="24"/>
          <w:szCs w:val="24"/>
          <w:highlight w:val="none"/>
          <w:lang w:eastAsia="zh-CN"/>
          <w14:textFill>
            <w14:solidFill>
              <w14:schemeClr w14:val="tx1"/>
            </w14:solidFill>
          </w14:textFill>
        </w:rPr>
        <w:t>9</w:t>
      </w:r>
      <w:r>
        <w:rPr>
          <w:rFonts w:hint="default" w:ascii="Times New Roman" w:hAnsi="Times New Roman" w:eastAsia="黑体" w:cs="Times New Roman"/>
          <w:b w:val="0"/>
          <w:color w:val="000000" w:themeColor="text1"/>
          <w:sz w:val="24"/>
          <w:szCs w:val="24"/>
          <w:highlight w:val="none"/>
          <w14:textFill>
            <w14:solidFill>
              <w14:schemeClr w14:val="tx1"/>
            </w14:solidFill>
          </w14:textFill>
        </w:rPr>
        <w:t xml:space="preserve"> 评标结果</w:t>
      </w:r>
      <w:bookmarkEnd w:id="27"/>
    </w:p>
    <w:p w14:paraId="26CCB150">
      <w:pPr>
        <w:pageBreakBefore w:val="0"/>
        <w:kinsoku/>
        <w:wordWrap w:val="0"/>
        <w:bidi w:val="0"/>
        <w:spacing w:line="400" w:lineRule="atLeast"/>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3.9.1除第二章</w:t>
      </w:r>
      <w:r>
        <w:rPr>
          <w:rFonts w:hint="eastAsia" w:ascii="宋体" w:hAnsi="宋体" w:eastAsia="宋体" w:cs="宋体"/>
          <w:color w:val="000000" w:themeColor="text1"/>
          <w:sz w:val="24"/>
          <w:highlight w:val="none"/>
          <w14:textFill>
            <w14:solidFill>
              <w14:schemeClr w14:val="tx1"/>
            </w14:solidFill>
          </w14:textFill>
        </w:rPr>
        <w:t>“</w:t>
      </w:r>
      <w:r>
        <w:rPr>
          <w:rFonts w:hint="default" w:ascii="Times New Roman" w:hAnsi="Times New Roman" w:eastAsia="宋体" w:cs="Times New Roman"/>
          <w:color w:val="000000" w:themeColor="text1"/>
          <w:sz w:val="24"/>
          <w:highlight w:val="none"/>
          <w14:textFill>
            <w14:solidFill>
              <w14:schemeClr w14:val="tx1"/>
            </w14:solidFill>
          </w14:textFill>
        </w:rPr>
        <w:t>投标人须知</w:t>
      </w:r>
      <w:r>
        <w:rPr>
          <w:rFonts w:hint="eastAsia" w:ascii="宋体" w:hAnsi="宋体" w:eastAsia="宋体" w:cs="宋体"/>
          <w:color w:val="000000" w:themeColor="text1"/>
          <w:sz w:val="24"/>
          <w:highlight w:val="none"/>
          <w14:textFill>
            <w14:solidFill>
              <w14:schemeClr w14:val="tx1"/>
            </w14:solidFill>
          </w14:textFill>
        </w:rPr>
        <w:t>”</w:t>
      </w:r>
      <w:r>
        <w:rPr>
          <w:rFonts w:hint="default" w:ascii="Times New Roman" w:hAnsi="Times New Roman" w:eastAsia="宋体" w:cs="Times New Roman"/>
          <w:color w:val="000000" w:themeColor="text1"/>
          <w:sz w:val="24"/>
          <w:highlight w:val="none"/>
          <w14:textFill>
            <w14:solidFill>
              <w14:schemeClr w14:val="tx1"/>
            </w14:solidFill>
          </w14:textFill>
        </w:rPr>
        <w:t>前附表授权直接确定中标人外，评标委员会按照评标价</w:t>
      </w:r>
      <w:r>
        <w:rPr>
          <w:rFonts w:hint="eastAsia" w:cs="Times New Roman"/>
          <w:color w:val="000000" w:themeColor="text1"/>
          <w:sz w:val="24"/>
          <w:highlight w:val="none"/>
          <w:lang w:val="en-US" w:eastAsia="zh-CN"/>
          <w14:textFill>
            <w14:solidFill>
              <w14:schemeClr w14:val="tx1"/>
            </w14:solidFill>
          </w14:textFill>
        </w:rPr>
        <w:t>得分</w:t>
      </w:r>
      <w:r>
        <w:rPr>
          <w:rFonts w:hint="default" w:ascii="Times New Roman" w:hAnsi="Times New Roman" w:eastAsia="宋体" w:cs="Times New Roman"/>
          <w:color w:val="000000" w:themeColor="text1"/>
          <w:sz w:val="24"/>
          <w:highlight w:val="none"/>
          <w14:textFill>
            <w14:solidFill>
              <w14:schemeClr w14:val="tx1"/>
            </w14:solidFill>
          </w14:textFill>
        </w:rPr>
        <w:t>由</w:t>
      </w:r>
      <w:r>
        <w:rPr>
          <w:rFonts w:hint="eastAsia" w:cs="Times New Roman"/>
          <w:color w:val="000000" w:themeColor="text1"/>
          <w:sz w:val="24"/>
          <w:highlight w:val="none"/>
          <w:lang w:val="en-US" w:eastAsia="zh-CN"/>
          <w14:textFill>
            <w14:solidFill>
              <w14:schemeClr w14:val="tx1"/>
            </w14:solidFill>
          </w14:textFill>
        </w:rPr>
        <w:t>高</w:t>
      </w:r>
      <w:r>
        <w:rPr>
          <w:rFonts w:hint="default" w:ascii="Times New Roman" w:hAnsi="Times New Roman" w:eastAsia="宋体" w:cs="Times New Roman"/>
          <w:color w:val="000000" w:themeColor="text1"/>
          <w:sz w:val="24"/>
          <w:highlight w:val="none"/>
          <w14:textFill>
            <w14:solidFill>
              <w14:schemeClr w14:val="tx1"/>
            </w14:solidFill>
          </w14:textFill>
        </w:rPr>
        <w:t>到</w:t>
      </w:r>
      <w:r>
        <w:rPr>
          <w:rFonts w:hint="eastAsia" w:cs="Times New Roman"/>
          <w:color w:val="000000" w:themeColor="text1"/>
          <w:sz w:val="24"/>
          <w:highlight w:val="none"/>
          <w:lang w:val="en-US" w:eastAsia="zh-CN"/>
          <w14:textFill>
            <w14:solidFill>
              <w14:schemeClr w14:val="tx1"/>
            </w14:solidFill>
          </w14:textFill>
        </w:rPr>
        <w:t>低</w:t>
      </w:r>
      <w:r>
        <w:rPr>
          <w:rFonts w:hint="default" w:ascii="Times New Roman" w:hAnsi="Times New Roman" w:eastAsia="宋体" w:cs="Times New Roman"/>
          <w:color w:val="000000" w:themeColor="text1"/>
          <w:sz w:val="24"/>
          <w:highlight w:val="none"/>
          <w14:textFill>
            <w14:solidFill>
              <w14:schemeClr w14:val="tx1"/>
            </w14:solidFill>
          </w14:textFill>
        </w:rPr>
        <w:t>的顺序推荐中标候选人，并标明排序。</w:t>
      </w:r>
    </w:p>
    <w:p w14:paraId="6DEE19E8">
      <w:pPr>
        <w:pageBreakBefore w:val="0"/>
        <w:kinsoku/>
        <w:wordWrap w:val="0"/>
        <w:bidi w:val="0"/>
        <w:spacing w:line="400" w:lineRule="atLeast"/>
        <w:ind w:firstLine="480" w:firstLineChars="200"/>
        <w:rPr>
          <w:rFonts w:hint="default" w:ascii="Times New Roman" w:hAnsi="Times New Roman" w:eastAsia="隶书"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3.9.2 评标委员会完成评标后，应向招标人提交评标报告</w:t>
      </w:r>
      <w:r>
        <w:rPr>
          <w:rFonts w:hint="default" w:ascii="Times New Roman" w:hAnsi="Times New Roman" w:eastAsia="隶书" w:cs="Times New Roman"/>
          <w:color w:val="000000" w:themeColor="text1"/>
          <w:sz w:val="24"/>
          <w:highlight w:val="none"/>
          <w14:textFill>
            <w14:solidFill>
              <w14:schemeClr w14:val="tx1"/>
            </w14:solidFill>
          </w14:textFill>
        </w:rPr>
        <w:t>。</w:t>
      </w:r>
    </w:p>
    <w:bookmarkEnd w:id="12"/>
    <w:bookmarkEnd w:id="13"/>
    <w:bookmarkEnd w:id="14"/>
    <w:p w14:paraId="6E1D9899">
      <w:pPr>
        <w:rPr>
          <w:color w:val="000000" w:themeColor="text1"/>
          <w:highlight w:val="none"/>
          <w14:textFill>
            <w14:solidFill>
              <w14:schemeClr w14:val="tx1"/>
            </w14:solidFill>
          </w14:textFill>
        </w:rPr>
      </w:pPr>
    </w:p>
    <w:sectPr>
      <w:headerReference r:id="rId10" w:type="default"/>
      <w:footerReference r:id="rId11"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B5595">
    <w:pPr>
      <w:spacing w:line="173" w:lineRule="auto"/>
      <w:ind w:left="4535"/>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59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7300A">
    <w:pPr>
      <w:spacing w:line="173" w:lineRule="auto"/>
      <w:ind w:left="4545"/>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B5E7F">
    <w:pPr>
      <w:pStyle w:val="4"/>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A96C24">
                          <w:pPr>
                            <w:pStyle w:val="4"/>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A96C24">
                    <w:pPr>
                      <w:pStyle w:val="4"/>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D6050">
    <w:pPr>
      <w:pStyle w:val="4"/>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2A5063">
                          <w:pPr>
                            <w:pStyle w:val="4"/>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62A5063">
                    <w:pPr>
                      <w:pStyle w:val="4"/>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4A5F2FF2">
      <w:pPr>
        <w:pStyle w:val="6"/>
        <w:spacing w:line="320" w:lineRule="atLeast"/>
        <w:ind w:left="180" w:hanging="210" w:hangingChars="100"/>
        <w:rPr>
          <w:rStyle w:val="10"/>
          <w:rFonts w:hint="eastAsia"/>
          <w:szCs w:val="18"/>
        </w:rPr>
      </w:pPr>
      <w:r>
        <w:rPr>
          <w:rStyle w:val="10"/>
          <w:kern w:val="2"/>
          <w:sz w:val="21"/>
          <w:szCs w:val="18"/>
        </w:rPr>
        <w:footnoteRef/>
      </w:r>
      <w:r>
        <w:rPr>
          <w:rFonts w:hint="eastAsia"/>
          <w:szCs w:val="18"/>
        </w:rPr>
        <w:t xml:space="preserve"> 如</w:t>
      </w:r>
      <w:r>
        <w:rPr>
          <w:rStyle w:val="10"/>
          <w:kern w:val="2"/>
          <w:sz w:val="21"/>
          <w:szCs w:val="18"/>
          <w:vertAlign w:val="baseline"/>
        </w:rPr>
        <w:t>本项目招标</w:t>
      </w:r>
      <w:r>
        <w:rPr>
          <w:rStyle w:val="10"/>
          <w:rFonts w:hint="eastAsia"/>
          <w:kern w:val="2"/>
          <w:sz w:val="21"/>
          <w:szCs w:val="18"/>
          <w:vertAlign w:val="baseline"/>
        </w:rPr>
        <w:t>由投标人按照招标人提供的</w:t>
      </w:r>
      <w:r>
        <w:rPr>
          <w:szCs w:val="18"/>
        </w:rPr>
        <w:t>书面</w:t>
      </w:r>
      <w:r>
        <w:rPr>
          <w:rStyle w:val="10"/>
          <w:rFonts w:hint="eastAsia"/>
          <w:kern w:val="2"/>
          <w:sz w:val="21"/>
          <w:szCs w:val="18"/>
          <w:vertAlign w:val="baseline"/>
        </w:rPr>
        <w:t>工程量清单填写</w:t>
      </w:r>
      <w:r>
        <w:rPr>
          <w:rStyle w:val="10"/>
          <w:kern w:val="2"/>
          <w:sz w:val="21"/>
          <w:szCs w:val="18"/>
          <w:vertAlign w:val="baseline"/>
        </w:rPr>
        <w:t>本合同各工程子目的单价、合价和总额价</w:t>
      </w:r>
      <w:r>
        <w:rPr>
          <w:rStyle w:val="10"/>
          <w:rFonts w:hint="eastAsia"/>
          <w:kern w:val="2"/>
          <w:sz w:val="21"/>
          <w:szCs w:val="18"/>
          <w:vertAlign w:val="baseline"/>
        </w:rPr>
        <w:t>，则</w:t>
      </w:r>
      <w:r>
        <w:rPr>
          <w:rStyle w:val="10"/>
          <w:kern w:val="2"/>
          <w:sz w:val="21"/>
          <w:szCs w:val="18"/>
          <w:vertAlign w:val="baseline"/>
        </w:rPr>
        <w:t>评标委员会按照</w:t>
      </w:r>
      <w:r>
        <w:rPr>
          <w:rStyle w:val="10"/>
          <w:rFonts w:hint="eastAsia"/>
          <w:kern w:val="2"/>
          <w:sz w:val="21"/>
          <w:szCs w:val="18"/>
          <w:vertAlign w:val="baseline"/>
        </w:rPr>
        <w:t>本</w:t>
      </w:r>
      <w:r>
        <w:rPr>
          <w:rStyle w:val="10"/>
          <w:kern w:val="2"/>
          <w:sz w:val="21"/>
          <w:szCs w:val="18"/>
          <w:vertAlign w:val="baseline"/>
        </w:rPr>
        <w:t>章</w:t>
      </w:r>
      <w:r>
        <w:rPr>
          <w:rStyle w:val="10"/>
          <w:rFonts w:hint="eastAsia"/>
          <w:kern w:val="2"/>
          <w:sz w:val="21"/>
          <w:szCs w:val="18"/>
          <w:vertAlign w:val="baseline"/>
        </w:rPr>
        <w:t>第3.4.2项和第3</w:t>
      </w:r>
      <w:r>
        <w:rPr>
          <w:rFonts w:hint="eastAsia"/>
          <w:szCs w:val="18"/>
        </w:rPr>
        <w:t>.4.3项</w:t>
      </w:r>
      <w:r>
        <w:rPr>
          <w:rStyle w:val="10"/>
          <w:rFonts w:hint="eastAsia"/>
          <w:kern w:val="2"/>
          <w:sz w:val="21"/>
          <w:szCs w:val="18"/>
          <w:vertAlign w:val="baseline"/>
        </w:rPr>
        <w:t>的</w:t>
      </w:r>
      <w:r>
        <w:rPr>
          <w:rStyle w:val="10"/>
          <w:kern w:val="2"/>
          <w:sz w:val="21"/>
          <w:szCs w:val="18"/>
          <w:vertAlign w:val="baseline"/>
        </w:rPr>
        <w:t>规定</w:t>
      </w:r>
      <w:r>
        <w:rPr>
          <w:rStyle w:val="10"/>
          <w:rFonts w:hint="eastAsia"/>
          <w:kern w:val="2"/>
          <w:sz w:val="21"/>
          <w:szCs w:val="18"/>
          <w:vertAlign w:val="baseline"/>
        </w:rPr>
        <w:t>对投标人的投标报价进行修正。</w:t>
      </w:r>
      <w:r>
        <w:rPr>
          <w:rFonts w:hint="eastAsia"/>
          <w:szCs w:val="18"/>
        </w:rPr>
        <w:t>如</w:t>
      </w:r>
      <w:r>
        <w:rPr>
          <w:rStyle w:val="10"/>
          <w:kern w:val="2"/>
          <w:sz w:val="21"/>
          <w:szCs w:val="18"/>
          <w:vertAlign w:val="baseline"/>
        </w:rPr>
        <w:t>本项目招标</w:t>
      </w:r>
      <w:r>
        <w:rPr>
          <w:rFonts w:hint="eastAsia"/>
          <w:szCs w:val="18"/>
        </w:rPr>
        <w:t>由投标人按照招标人提供的</w:t>
      </w:r>
      <w:r>
        <w:rPr>
          <w:szCs w:val="18"/>
        </w:rPr>
        <w:t>工程量固化清单</w:t>
      </w:r>
      <w:r>
        <w:rPr>
          <w:rFonts w:hint="eastAsia"/>
          <w:szCs w:val="18"/>
        </w:rPr>
        <w:t>电子文件填写工程量清单，无须按照本章第3.4.2项和第3.4.3项的规定对投标报价进行修正，第3.4.2项</w:t>
      </w:r>
      <w:r>
        <w:rPr>
          <w:rFonts w:hint="eastAsia"/>
          <w:szCs w:val="18"/>
          <w:lang w:eastAsia="zh-CN"/>
        </w:rPr>
        <w:t>至</w:t>
      </w:r>
      <w:r>
        <w:rPr>
          <w:rFonts w:hint="eastAsia"/>
          <w:szCs w:val="18"/>
        </w:rPr>
        <w:t>第3.4.4项内容不适用。</w:t>
      </w:r>
    </w:p>
    <w:p w14:paraId="7B7F5B07">
      <w:pPr>
        <w:pStyle w:val="6"/>
        <w:spacing w:line="300" w:lineRule="atLeast"/>
        <w:ind w:left="210" w:hanging="210"/>
        <w:rPr>
          <w:rStyle w:val="10"/>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EAF15">
    <w:pPr>
      <w:pStyle w:val="3"/>
      <w:spacing w:before="60" w:line="219" w:lineRule="auto"/>
      <w:ind w:left="98"/>
      <w:rPr>
        <w:sz w:val="23"/>
        <w:szCs w:val="23"/>
      </w:rPr>
    </w:pPr>
    <w:r>
      <w:rPr>
        <w:rFonts w:hint="eastAsia" w:ascii="黑体" w:hAnsi="黑体" w:eastAsia="黑体" w:cs="黑体"/>
        <w:b w:val="0"/>
        <w:bCs w:val="0"/>
        <w:spacing w:val="0"/>
        <w:sz w:val="20"/>
        <w:szCs w:val="20"/>
        <w:u w:val="single" w:color="auto"/>
      </w:rPr>
      <w:t>辽宁省公路工程标准施工电子招标文件（2025年版）</w:t>
    </w:r>
    <w:r>
      <w:rPr>
        <w:rFonts w:hint="eastAsia" w:ascii="黑体" w:hAnsi="黑体" w:eastAsia="黑体" w:cs="黑体"/>
        <w:spacing w:val="0"/>
        <w:sz w:val="20"/>
        <w:szCs w:val="20"/>
        <w:u w:val="single" w:color="auto"/>
      </w:rPr>
      <w:t xml:space="preserve"> </w:t>
    </w:r>
    <w:r>
      <w:rPr>
        <w:rFonts w:hint="eastAsia" w:ascii="黑体" w:hAnsi="黑体" w:eastAsia="黑体" w:cs="黑体"/>
        <w:spacing w:val="0"/>
        <w:sz w:val="20"/>
        <w:szCs w:val="20"/>
        <w:u w:val="single" w:color="auto"/>
        <w:lang w:val="en-US" w:eastAsia="zh-CN"/>
      </w:rPr>
      <w:t xml:space="preserve">                                 </w:t>
    </w:r>
    <w:r>
      <w:rPr>
        <w:spacing w:val="1"/>
        <w:sz w:val="23"/>
        <w:szCs w:val="23"/>
        <w:u w:val="single" w:color="auto"/>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5A903">
    <w:pPr>
      <w:pStyle w:val="5"/>
      <w:jc w:val="left"/>
      <w:rPr>
        <w:rFonts w:hint="default" w:eastAsia="黑体"/>
        <w:lang w:val="en-US" w:eastAsia="zh-CN"/>
      </w:rPr>
    </w:pPr>
    <w:r>
      <w:rPr>
        <w:rFonts w:hint="eastAsia" w:ascii="黑体" w:hAnsi="黑体" w:eastAsia="黑体" w:cs="黑体"/>
        <w:b w:val="0"/>
        <w:bCs w:val="0"/>
        <w:spacing w:val="0"/>
        <w:sz w:val="20"/>
        <w:szCs w:val="20"/>
        <w:u w:val="single" w:color="auto"/>
      </w:rPr>
      <w:t>辽宁省公路工程标准施工电子招标文件（2025年版）</w:t>
    </w:r>
    <w:r>
      <w:rPr>
        <w:rFonts w:hint="eastAsia" w:ascii="黑体" w:hAnsi="黑体" w:eastAsia="黑体" w:cs="黑体"/>
        <w:spacing w:val="0"/>
        <w:sz w:val="20"/>
        <w:szCs w:val="20"/>
        <w:u w:val="single" w:color="auto"/>
      </w:rPr>
      <w:t xml:space="preserve"> </w:t>
    </w:r>
    <w:r>
      <w:rPr>
        <w:rFonts w:hint="eastAsia" w:ascii="黑体" w:hAnsi="黑体" w:eastAsia="黑体" w:cs="黑体"/>
        <w:spacing w:val="0"/>
        <w:sz w:val="20"/>
        <w:szCs w:val="20"/>
        <w:u w:val="single" w:color="auto"/>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5A0FC">
    <w:pPr>
      <w:pStyle w:val="5"/>
      <w:pBdr>
        <w:bottom w:val="single" w:color="auto" w:sz="4" w:space="0"/>
      </w:pBdr>
      <w:topLinePunct/>
      <w:spacing w:line="240" w:lineRule="atLeast"/>
      <w:ind w:right="0"/>
      <w:jc w:val="left"/>
      <w:rPr>
        <w:sz w:val="17"/>
        <w:szCs w:val="17"/>
      </w:rPr>
    </w:pPr>
    <w:r>
      <w:rPr>
        <w:rFonts w:hint="eastAsia" w:eastAsia="黑体" w:cs="Times New Roman"/>
        <w:sz w:val="20"/>
        <w:szCs w:val="21"/>
        <w:lang w:eastAsia="zh-CN"/>
      </w:rPr>
      <w:t>辽宁省公路工程标准施工电子招标文件（2025年版）</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C15D0">
    <w:pPr>
      <w:pStyle w:val="5"/>
      <w:pBdr>
        <w:bottom w:val="single" w:color="auto" w:sz="4" w:space="0"/>
      </w:pBdr>
      <w:topLinePunct/>
      <w:spacing w:line="240" w:lineRule="atLeast"/>
      <w:ind w:right="0"/>
      <w:jc w:val="left"/>
      <w:rPr>
        <w:rFonts w:hint="eastAsia" w:eastAsia="宋体"/>
        <w:sz w:val="17"/>
        <w:szCs w:val="17"/>
        <w:lang w:eastAsia="zh-CN"/>
      </w:rPr>
    </w:pPr>
    <w:r>
      <w:rPr>
        <w:rFonts w:hint="eastAsia" w:eastAsia="黑体" w:cs="Times New Roman"/>
        <w:sz w:val="20"/>
        <w:szCs w:val="21"/>
        <w:lang w:eastAsia="zh-CN"/>
      </w:rPr>
      <w:t>辽宁省公路工程标准施工电子招标文件（2025年版）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315030"/>
    <w:rsid w:val="07CE35C0"/>
    <w:rsid w:val="36315030"/>
    <w:rsid w:val="47C92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240" w:after="240" w:line="240" w:lineRule="atLeast"/>
      <w:outlineLvl w:val="0"/>
    </w:pPr>
    <w:rPr>
      <w:rFonts w:eastAsia="黑体"/>
      <w:bCs/>
      <w:kern w:val="44"/>
      <w:sz w:val="24"/>
      <w:szCs w:val="44"/>
    </w:rPr>
  </w:style>
  <w:style w:type="character" w:default="1" w:styleId="9">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footnote text"/>
    <w:basedOn w:val="1"/>
    <w:qFormat/>
    <w:uiPriority w:val="0"/>
    <w:pPr>
      <w:adjustRightInd w:val="0"/>
      <w:snapToGrid w:val="0"/>
      <w:spacing w:line="420" w:lineRule="atLeast"/>
      <w:ind w:firstLine="454"/>
      <w:jc w:val="left"/>
      <w:textAlignment w:val="baseline"/>
    </w:pPr>
    <w:rPr>
      <w:kern w:val="0"/>
      <w:sz w:val="18"/>
      <w:szCs w:val="2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otnote reference"/>
    <w:qFormat/>
    <w:uiPriority w:val="0"/>
    <w:rPr>
      <w:vertAlign w:val="superscript"/>
    </w:rPr>
  </w:style>
  <w:style w:type="paragraph" w:customStyle="1" w:styleId="11">
    <w:name w:val="Table Text"/>
    <w:basedOn w:val="1"/>
    <w:semiHidden/>
    <w:qFormat/>
    <w:uiPriority w:val="0"/>
    <w:rPr>
      <w:rFonts w:ascii="宋体" w:hAnsi="宋体" w:eastAsia="宋体" w:cs="宋体"/>
      <w:sz w:val="21"/>
      <w:szCs w:val="21"/>
      <w:lang w:val="en-US" w:eastAsia="en-US" w:bidi="ar-SA"/>
    </w:rPr>
  </w:style>
  <w:style w:type="table" w:customStyle="1" w:styleId="12">
    <w:name w:val="Table Normal"/>
    <w:basedOn w:val="7"/>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12641</Words>
  <Characters>14325</Characters>
  <Lines>0</Lines>
  <Paragraphs>0</Paragraphs>
  <TotalTime>0</TotalTime>
  <ScaleCrop>false</ScaleCrop>
  <LinksUpToDate>false</LinksUpToDate>
  <CharactersWithSpaces>14425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2026-04-29T12:23:00Z</dcterms:created>
  <dc:creator>Administrator</dc:creator>
  <cp:lastModifiedBy>Administrator</cp:lastModifiedBy>
  <dcterms:modified xsi:type="dcterms:W3CDTF">2026-04-30T04:44:21Z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D605225F16904DB983AC7D86C915609D_11</vt:lpwstr>
  </property>
  <property fmtid="{D5CDD505-2E9C-101B-9397-08002B2CF9AE}" pid="4" name="KSOTemplateDocerSaveRecord">
    <vt:lpwstr>eyJoZGlkIjoiNTQ2MGIwODBhYmQxNzMwMmE3Y2JhYzA4NDk4MTI2ODAiLCJ1c2VySWQiOiIzMjk0Mzg0NDkifQ==</vt:lpwstr>
  </property>
</Properties>
</file>